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6B4C" w14:textId="2E02DF1B" w:rsidR="00944203" w:rsidRDefault="00944203" w:rsidP="00944203">
      <w:pPr>
        <w:jc w:val="center"/>
        <w:rPr>
          <w:rFonts w:ascii="Times New Roman" w:hAnsi="Times New Roman"/>
          <w:sz w:val="24"/>
          <w:szCs w:val="24"/>
          <w:u w:val="single"/>
        </w:rPr>
      </w:pPr>
      <w:r w:rsidRPr="00944203">
        <w:rPr>
          <w:rFonts w:ascii="Times New Roman" w:hAnsi="Times New Roman"/>
          <w:sz w:val="24"/>
          <w:szCs w:val="24"/>
          <w:u w:val="single"/>
        </w:rPr>
        <w:t>Lühikokkuvõte mikroplasti</w:t>
      </w:r>
      <w:r>
        <w:rPr>
          <w:rFonts w:ascii="Times New Roman" w:hAnsi="Times New Roman"/>
          <w:sz w:val="24"/>
          <w:szCs w:val="24"/>
          <w:u w:val="single"/>
        </w:rPr>
        <w:t xml:space="preserve"> algatuse ettepanekust</w:t>
      </w:r>
    </w:p>
    <w:p w14:paraId="0F791905" w14:textId="77777777" w:rsidR="00944203" w:rsidRPr="00944203" w:rsidRDefault="00944203" w:rsidP="00944203">
      <w:pPr>
        <w:jc w:val="center"/>
        <w:rPr>
          <w:rFonts w:ascii="Times New Roman" w:hAnsi="Times New Roman"/>
          <w:sz w:val="24"/>
          <w:szCs w:val="24"/>
          <w:u w:val="single"/>
        </w:rPr>
      </w:pPr>
    </w:p>
    <w:p w14:paraId="74B49DD6" w14:textId="77777777" w:rsidR="00944203" w:rsidRDefault="00944203" w:rsidP="00944203">
      <w:pPr>
        <w:pStyle w:val="Loendilik"/>
        <w:numPr>
          <w:ilvl w:val="2"/>
          <w:numId w:val="1"/>
        </w:numPr>
        <w:suppressAutoHyphens/>
        <w:spacing w:line="240" w:lineRule="auto"/>
        <w:ind w:right="-2"/>
        <w:jc w:val="both"/>
        <w:rPr>
          <w:rFonts w:ascii="Times New Roman" w:eastAsia="Times New Roman" w:hAnsi="Times New Roman"/>
          <w:b/>
          <w:bCs/>
          <w:sz w:val="24"/>
          <w:szCs w:val="24"/>
          <w:lang w:eastAsia="ar-SA"/>
        </w:rPr>
      </w:pPr>
      <w:r w:rsidRPr="003B5883">
        <w:rPr>
          <w:rFonts w:ascii="Times New Roman" w:eastAsia="Times New Roman" w:hAnsi="Times New Roman"/>
          <w:b/>
          <w:bCs/>
          <w:sz w:val="24"/>
          <w:szCs w:val="24"/>
          <w:lang w:eastAsia="ar-SA"/>
        </w:rPr>
        <w:t xml:space="preserve">Algatuste eesmärk ja sisu: </w:t>
      </w:r>
    </w:p>
    <w:p w14:paraId="50181B78" w14:textId="77777777" w:rsidR="00944203" w:rsidRPr="00D43EB9" w:rsidRDefault="00944203" w:rsidP="00944203">
      <w:pPr>
        <w:pStyle w:val="Loendilik"/>
        <w:suppressAutoHyphens/>
        <w:spacing w:after="0" w:line="240" w:lineRule="auto"/>
        <w:ind w:left="0" w:right="-2"/>
        <w:jc w:val="both"/>
        <w:rPr>
          <w:rFonts w:ascii="Times New Roman" w:hAnsi="Times New Roman"/>
          <w:sz w:val="24"/>
          <w:szCs w:val="24"/>
        </w:rPr>
      </w:pPr>
      <w:r w:rsidRPr="00D43EB9">
        <w:rPr>
          <w:rFonts w:ascii="Times New Roman" w:hAnsi="Times New Roman"/>
          <w:sz w:val="24"/>
          <w:szCs w:val="24"/>
        </w:rPr>
        <w:t xml:space="preserve">Plastigraanulite keskkonda sattumine on suuruselt kolmas tahtmatu mikroplastiheite allikas. Teised peamised allikad on muu hulgas värvid, rehvid, tekstiil, geotekstiil ja vähemal määral pesukapslid. Nendest allikatest tuleneva mikroplastiheite ärahoidmiseks võib olla vaja teha suuremaid asendusi või muuta oluliselt toote omadusi. Seevastu plastigraanulite kadu on tingitud vähesest teadlikkusest ja ebaõigest käitlemisest ning seepärast saab sellist ärahoitavat reostust vähendada kiirete meetmetega. Sellest tulenevalt on poliitilise sekkumise peamine sihtmärk plastigraanulid. </w:t>
      </w:r>
    </w:p>
    <w:p w14:paraId="47E2A6D5" w14:textId="77777777" w:rsidR="00944203" w:rsidRPr="00D43EB9" w:rsidRDefault="00944203" w:rsidP="00944203">
      <w:pPr>
        <w:pStyle w:val="Loendilik"/>
        <w:suppressAutoHyphens/>
        <w:spacing w:after="0" w:line="240" w:lineRule="auto"/>
        <w:ind w:left="0" w:right="-2"/>
        <w:jc w:val="both"/>
        <w:rPr>
          <w:rFonts w:ascii="Times New Roman" w:hAnsi="Times New Roman"/>
          <w:sz w:val="24"/>
          <w:szCs w:val="24"/>
        </w:rPr>
      </w:pPr>
    </w:p>
    <w:p w14:paraId="5D2703DB" w14:textId="77777777" w:rsidR="00944203" w:rsidRDefault="00944203" w:rsidP="00944203">
      <w:pPr>
        <w:pStyle w:val="Loendilik"/>
        <w:suppressAutoHyphens/>
        <w:spacing w:after="0" w:line="240" w:lineRule="auto"/>
        <w:ind w:left="0" w:right="-2"/>
        <w:jc w:val="both"/>
        <w:rPr>
          <w:rFonts w:ascii="Times New Roman" w:hAnsi="Times New Roman"/>
          <w:sz w:val="24"/>
          <w:szCs w:val="24"/>
        </w:rPr>
      </w:pPr>
      <w:r w:rsidRPr="00D43EB9">
        <w:rPr>
          <w:rFonts w:ascii="Times New Roman" w:hAnsi="Times New Roman"/>
          <w:sz w:val="24"/>
          <w:szCs w:val="24"/>
        </w:rPr>
        <w:t xml:space="preserve">Plastigraanulid, mida muu hulgas nimetatakse ka tootmises kasutatavateks graanuliteks ja vaigugraanuliteks, on kõikjal plasti tootmises kasutatav tööstuslik tooraine. Praegused graanuli käitlustavad põhjustavad kadu tarneahela kõikides etappides, eelkõige tootmisel (nii varem kasutamata kui ka ringlussevõetud materjali puhul), töötlemisel, transpordil ning muude logistika- ja jäätmekäitlustoimingute ajal. Pärast keskkonda sattumist on neid peaaegu võimatu kokku koguda. Raskendavaks teguriks on nende liikuvus. Nagu mis tahes mikroplast, kanduvad tööstuskäitistest või transpordi ajal välja pääsenud plastigraanulid kergesti õhu ja maismaa pinnaveekogude kaudu </w:t>
      </w:r>
      <w:r>
        <w:rPr>
          <w:rFonts w:ascii="Times New Roman" w:hAnsi="Times New Roman"/>
          <w:sz w:val="24"/>
          <w:szCs w:val="24"/>
        </w:rPr>
        <w:t>ning</w:t>
      </w:r>
      <w:r w:rsidRPr="00D43EB9">
        <w:rPr>
          <w:rFonts w:ascii="Times New Roman" w:hAnsi="Times New Roman"/>
          <w:sz w:val="24"/>
          <w:szCs w:val="24"/>
        </w:rPr>
        <w:t xml:space="preserve"> merehoovuste abil edasi ning neid võib leida ka pinnasest (sh põllumajandusmaalt).</w:t>
      </w:r>
    </w:p>
    <w:p w14:paraId="3CCBD787" w14:textId="77777777" w:rsidR="00944203" w:rsidRPr="00D43EB9" w:rsidRDefault="00944203" w:rsidP="00944203">
      <w:pPr>
        <w:pStyle w:val="Loendilik"/>
        <w:suppressAutoHyphens/>
        <w:spacing w:after="0" w:line="240" w:lineRule="auto"/>
        <w:ind w:left="0" w:right="-2"/>
        <w:jc w:val="both"/>
        <w:rPr>
          <w:rFonts w:ascii="Times New Roman" w:hAnsi="Times New Roman"/>
          <w:sz w:val="24"/>
          <w:szCs w:val="24"/>
        </w:rPr>
      </w:pPr>
    </w:p>
    <w:p w14:paraId="73183041" w14:textId="77777777" w:rsidR="00944203" w:rsidRDefault="00944203" w:rsidP="00944203">
      <w:pPr>
        <w:pStyle w:val="Loendilik"/>
        <w:suppressAutoHyphens/>
        <w:spacing w:after="0" w:line="240" w:lineRule="auto"/>
        <w:ind w:left="0" w:right="-2"/>
        <w:jc w:val="both"/>
        <w:rPr>
          <w:rFonts w:ascii="Times New Roman" w:hAnsi="Times New Roman"/>
          <w:sz w:val="24"/>
          <w:szCs w:val="24"/>
        </w:rPr>
      </w:pPr>
      <w:r>
        <w:rPr>
          <w:rFonts w:ascii="Times New Roman" w:hAnsi="Times New Roman"/>
          <w:b/>
          <w:bCs/>
          <w:sz w:val="24"/>
          <w:szCs w:val="24"/>
        </w:rPr>
        <w:t>E</w:t>
      </w:r>
      <w:r w:rsidRPr="00D43EB9">
        <w:rPr>
          <w:rFonts w:ascii="Times New Roman" w:hAnsi="Times New Roman"/>
          <w:b/>
          <w:bCs/>
          <w:sz w:val="24"/>
          <w:szCs w:val="24"/>
        </w:rPr>
        <w:t>ttepaneku eesmärk on vähendada plastigraanulite sattumist keskkonda ning selle tulemusena väheneks graanulikadu lähtetasemega võrreldes 54–74 %, mis tähendab tahtmatult keskkonda lastava mikroplasti summaarse heitkoguse vähenemist 6 % võrra.</w:t>
      </w:r>
      <w:r w:rsidRPr="00D43EB9">
        <w:rPr>
          <w:rFonts w:ascii="Times New Roman" w:hAnsi="Times New Roman"/>
          <w:sz w:val="24"/>
          <w:szCs w:val="24"/>
        </w:rPr>
        <w:t xml:space="preserve"> Kooskõlas komisjoni üldise eesmärgiga vähendada keskkonda sattuva mikroplasti kogust 30 % aitab see säilitada ökosüsteeme ja elurikkust, vähendada võimalikku tervisemõju ja edendada kohalikku majandustegevust. Samuti võib see anda rohkem teavet graanulikao ulatuse kohta kogu graanulite tarneahela lõikes. </w:t>
      </w:r>
    </w:p>
    <w:p w14:paraId="02002222" w14:textId="77777777" w:rsidR="00944203" w:rsidRPr="00D43EB9" w:rsidRDefault="00944203" w:rsidP="00944203">
      <w:pPr>
        <w:pStyle w:val="Loendilik"/>
        <w:suppressAutoHyphens/>
        <w:spacing w:after="0" w:line="240" w:lineRule="auto"/>
        <w:ind w:left="0" w:right="-2"/>
        <w:jc w:val="both"/>
        <w:rPr>
          <w:rFonts w:ascii="Times New Roman" w:hAnsi="Times New Roman"/>
          <w:sz w:val="24"/>
          <w:szCs w:val="24"/>
        </w:rPr>
      </w:pPr>
    </w:p>
    <w:p w14:paraId="5A2A10D9" w14:textId="77777777" w:rsidR="00944203" w:rsidRDefault="00944203" w:rsidP="00944203">
      <w:pPr>
        <w:pStyle w:val="Loendilik"/>
        <w:suppressAutoHyphens/>
        <w:spacing w:after="0" w:line="240" w:lineRule="auto"/>
        <w:ind w:left="0" w:right="-2"/>
        <w:jc w:val="both"/>
        <w:rPr>
          <w:rFonts w:ascii="Times New Roman" w:hAnsi="Times New Roman"/>
          <w:sz w:val="24"/>
          <w:szCs w:val="24"/>
        </w:rPr>
      </w:pPr>
      <w:r w:rsidRPr="00D43EB9">
        <w:rPr>
          <w:rFonts w:ascii="Times New Roman" w:hAnsi="Times New Roman"/>
          <w:sz w:val="24"/>
          <w:szCs w:val="24"/>
        </w:rPr>
        <w:t>Ühised nõuded graanulite käitlemiseks Euroopa Liidus on kõrgetasemelise keskkonnakaitse tagamiseks väga olulised. Nagu mis tahes mikroplast, liiguvad graanulid hõlpsalt ühest geograafilisest asukohast teise ja neid võib leida kõikides keskkondades, sealhulgas kõige kaugemates paikades. Ehkki algne graanulite kadu on tavaliselt suurim ühes geograafilises piirkonnas (naftakeemia- ja polümeeritööstuse piirkonnad, samuti sadamad ja muud logistikaplatvormid jne), on graanulid väga liikuvad ning võivad seejärel maismaa pinnaveekogude ja õhu kaudu ning ookeanihoovuste mõjul laiali kanduda. Probleemi piiriülene olemus on kõige olulisem põhjus ELi tasandil tegutsemiseks. Liikmesriikide eraldi tegutsemine oleks vähem kulutõhus ega tagaks optimaalset keskkonnakaitse taset. Samuti tekiks oht, et kehtestatakse konkureerivad eri õigusnormid.</w:t>
      </w:r>
    </w:p>
    <w:p w14:paraId="1AD52BE7" w14:textId="77777777" w:rsidR="00944203" w:rsidRPr="00D43EB9" w:rsidRDefault="00944203" w:rsidP="00944203">
      <w:pPr>
        <w:pStyle w:val="Loendilik"/>
        <w:suppressAutoHyphens/>
        <w:spacing w:after="0" w:line="240" w:lineRule="auto"/>
        <w:ind w:left="0" w:right="-2"/>
        <w:jc w:val="both"/>
        <w:rPr>
          <w:rFonts w:ascii="Times New Roman" w:hAnsi="Times New Roman"/>
          <w:sz w:val="24"/>
          <w:szCs w:val="24"/>
        </w:rPr>
      </w:pPr>
    </w:p>
    <w:p w14:paraId="7F0209F1" w14:textId="77777777" w:rsidR="00944203" w:rsidRDefault="00944203" w:rsidP="00944203">
      <w:pPr>
        <w:suppressAutoHyphens/>
        <w:spacing w:after="0" w:line="240" w:lineRule="auto"/>
        <w:ind w:right="-2"/>
        <w:jc w:val="both"/>
        <w:rPr>
          <w:rFonts w:ascii="Times New Roman" w:hAnsi="Times New Roman"/>
          <w:sz w:val="24"/>
          <w:szCs w:val="24"/>
        </w:rPr>
      </w:pPr>
      <w:r w:rsidRPr="006F334D">
        <w:rPr>
          <w:rFonts w:ascii="Times New Roman" w:hAnsi="Times New Roman"/>
          <w:sz w:val="24"/>
          <w:szCs w:val="24"/>
        </w:rPr>
        <w:t xml:space="preserve">Ettepanek on iseseisev õigusakt, millega ei muudeta kehtivaid õigusakte. Selles sätestatakse nõuded, mida tuleb rakendada kõikjal graanulite tarneahelas, ning eeskirjad nõuete täitmise tagamise süsteemi kohta, mis põhineb kolmanda isiku tehtaval sertifitseerimisel, ettevõtja vastavusdeklaratsioonil ja riikliku ametiasutuse tehtaval vastavuskontrollil. </w:t>
      </w:r>
    </w:p>
    <w:p w14:paraId="0C445844" w14:textId="77777777" w:rsidR="00944203" w:rsidRDefault="00944203" w:rsidP="00944203">
      <w:pPr>
        <w:suppressAutoHyphens/>
        <w:spacing w:after="0" w:line="240" w:lineRule="auto"/>
        <w:ind w:right="-2"/>
        <w:jc w:val="both"/>
        <w:rPr>
          <w:rFonts w:ascii="Times New Roman" w:hAnsi="Times New Roman"/>
          <w:sz w:val="24"/>
          <w:szCs w:val="24"/>
        </w:rPr>
      </w:pPr>
    </w:p>
    <w:p w14:paraId="34FAE9F7" w14:textId="77777777" w:rsidR="00944203" w:rsidRPr="00F22FE9" w:rsidRDefault="00944203" w:rsidP="00944203">
      <w:pPr>
        <w:suppressAutoHyphens/>
        <w:spacing w:after="0" w:line="240" w:lineRule="auto"/>
        <w:ind w:right="-2"/>
        <w:jc w:val="both"/>
        <w:rPr>
          <w:rFonts w:ascii="Times New Roman" w:hAnsi="Times New Roman"/>
          <w:b/>
          <w:bCs/>
          <w:sz w:val="24"/>
          <w:szCs w:val="24"/>
        </w:rPr>
      </w:pPr>
      <w:r>
        <w:rPr>
          <w:rFonts w:ascii="Times New Roman" w:hAnsi="Times New Roman"/>
          <w:sz w:val="24"/>
          <w:szCs w:val="24"/>
        </w:rPr>
        <w:t>Ettepanekuga rakendatakse meetmed</w:t>
      </w:r>
      <w:r w:rsidRPr="00D43EB9">
        <w:rPr>
          <w:rFonts w:ascii="Times New Roman" w:hAnsi="Times New Roman"/>
          <w:sz w:val="24"/>
          <w:szCs w:val="24"/>
        </w:rPr>
        <w:t xml:space="preserve"> seoses plastigraanulite käitlemisega</w:t>
      </w:r>
      <w:r>
        <w:rPr>
          <w:rFonts w:ascii="Times New Roman" w:hAnsi="Times New Roman"/>
          <w:sz w:val="24"/>
          <w:szCs w:val="24"/>
        </w:rPr>
        <w:t>, mis</w:t>
      </w:r>
      <w:r w:rsidRPr="00D43EB9">
        <w:rPr>
          <w:rFonts w:ascii="Times New Roman" w:hAnsi="Times New Roman"/>
          <w:sz w:val="24"/>
          <w:szCs w:val="24"/>
        </w:rPr>
        <w:t xml:space="preserve"> rakenduvad tarneahela kõikides etappides, et hoida ära </w:t>
      </w:r>
      <w:r>
        <w:rPr>
          <w:rFonts w:ascii="Times New Roman" w:hAnsi="Times New Roman"/>
          <w:sz w:val="24"/>
          <w:szCs w:val="24"/>
        </w:rPr>
        <w:t xml:space="preserve">plastigraanulite </w:t>
      </w:r>
      <w:r w:rsidRPr="00D43EB9">
        <w:rPr>
          <w:rFonts w:ascii="Times New Roman" w:hAnsi="Times New Roman"/>
          <w:sz w:val="24"/>
          <w:szCs w:val="24"/>
        </w:rPr>
        <w:t xml:space="preserve">kadu. </w:t>
      </w:r>
      <w:r w:rsidRPr="00F22FE9">
        <w:rPr>
          <w:rFonts w:ascii="Times New Roman" w:hAnsi="Times New Roman"/>
          <w:b/>
          <w:bCs/>
          <w:sz w:val="24"/>
          <w:szCs w:val="24"/>
        </w:rPr>
        <w:t xml:space="preserve">Ettepanek hõlmab kõiki ettevõtjaid, kes: </w:t>
      </w:r>
    </w:p>
    <w:p w14:paraId="18EE8A97" w14:textId="77777777" w:rsidR="00944203" w:rsidRPr="00F22FE9" w:rsidRDefault="00944203" w:rsidP="00944203">
      <w:pPr>
        <w:pStyle w:val="Loendilik"/>
        <w:numPr>
          <w:ilvl w:val="0"/>
          <w:numId w:val="2"/>
        </w:numPr>
        <w:suppressAutoHyphens/>
        <w:spacing w:after="0" w:line="240" w:lineRule="auto"/>
        <w:ind w:right="-2"/>
        <w:jc w:val="both"/>
        <w:rPr>
          <w:rFonts w:ascii="Times New Roman" w:hAnsi="Times New Roman"/>
          <w:b/>
          <w:bCs/>
          <w:sz w:val="24"/>
          <w:szCs w:val="24"/>
        </w:rPr>
      </w:pPr>
      <w:r w:rsidRPr="00F22FE9">
        <w:rPr>
          <w:rFonts w:ascii="Times New Roman" w:hAnsi="Times New Roman"/>
          <w:b/>
          <w:bCs/>
          <w:sz w:val="24"/>
          <w:szCs w:val="24"/>
        </w:rPr>
        <w:lastRenderedPageBreak/>
        <w:t xml:space="preserve">käitlevad Euroopa Liidus üle viie tonni plastigraanuleid aastas, ning </w:t>
      </w:r>
    </w:p>
    <w:p w14:paraId="12477EE0" w14:textId="77777777" w:rsidR="00944203" w:rsidRPr="00F22FE9" w:rsidRDefault="00944203" w:rsidP="00944203">
      <w:pPr>
        <w:pStyle w:val="Loendilik"/>
        <w:numPr>
          <w:ilvl w:val="0"/>
          <w:numId w:val="2"/>
        </w:numPr>
        <w:suppressAutoHyphens/>
        <w:spacing w:after="0" w:line="240" w:lineRule="auto"/>
        <w:ind w:right="-2"/>
        <w:jc w:val="both"/>
        <w:rPr>
          <w:rFonts w:ascii="Times New Roman" w:hAnsi="Times New Roman"/>
          <w:b/>
          <w:bCs/>
          <w:sz w:val="24"/>
          <w:szCs w:val="24"/>
        </w:rPr>
      </w:pPr>
      <w:r w:rsidRPr="00F22FE9">
        <w:rPr>
          <w:rFonts w:ascii="Times New Roman" w:hAnsi="Times New Roman"/>
          <w:b/>
          <w:bCs/>
          <w:sz w:val="24"/>
          <w:szCs w:val="24"/>
        </w:rPr>
        <w:t>ELi vedajaid ja kolmandate riikide vedajaid, kes veavad Euroopa Liidus plastigraanuleid.</w:t>
      </w:r>
    </w:p>
    <w:p w14:paraId="5BDB1DCE" w14:textId="77777777" w:rsidR="00944203" w:rsidRDefault="00944203" w:rsidP="00944203">
      <w:pPr>
        <w:pStyle w:val="Loendilik"/>
        <w:suppressAutoHyphens/>
        <w:spacing w:line="240" w:lineRule="auto"/>
        <w:ind w:left="0" w:right="-2"/>
        <w:jc w:val="both"/>
        <w:rPr>
          <w:rFonts w:ascii="Times New Roman" w:hAnsi="Times New Roman"/>
          <w:sz w:val="24"/>
          <w:szCs w:val="24"/>
        </w:rPr>
      </w:pPr>
      <w:r>
        <w:rPr>
          <w:rFonts w:ascii="Times New Roman" w:hAnsi="Times New Roman"/>
          <w:sz w:val="24"/>
          <w:szCs w:val="24"/>
        </w:rPr>
        <w:t>Ettepanekuga on leevendused ette nähtud VKEdele.</w:t>
      </w:r>
    </w:p>
    <w:p w14:paraId="00135E27" w14:textId="77777777" w:rsidR="00944203" w:rsidRDefault="00944203" w:rsidP="00944203">
      <w:pPr>
        <w:pStyle w:val="Loendilik"/>
        <w:suppressAutoHyphens/>
        <w:spacing w:line="240" w:lineRule="auto"/>
        <w:ind w:left="0" w:right="-2"/>
        <w:jc w:val="both"/>
        <w:rPr>
          <w:rFonts w:ascii="Times New Roman" w:hAnsi="Times New Roman"/>
          <w:sz w:val="24"/>
          <w:szCs w:val="24"/>
        </w:rPr>
      </w:pPr>
    </w:p>
    <w:p w14:paraId="020FAA61" w14:textId="77777777" w:rsidR="00944203" w:rsidRPr="003F5536" w:rsidRDefault="00944203" w:rsidP="00944203">
      <w:pPr>
        <w:suppressAutoHyphens/>
        <w:spacing w:after="0" w:line="240" w:lineRule="auto"/>
        <w:ind w:right="-2"/>
        <w:jc w:val="both"/>
        <w:rPr>
          <w:rFonts w:ascii="Times New Roman" w:hAnsi="Times New Roman"/>
          <w:b/>
          <w:bCs/>
          <w:sz w:val="24"/>
          <w:szCs w:val="24"/>
          <w:u w:val="single"/>
        </w:rPr>
      </w:pPr>
      <w:r w:rsidRPr="003F5536">
        <w:rPr>
          <w:rFonts w:ascii="Times New Roman" w:hAnsi="Times New Roman"/>
          <w:b/>
          <w:bCs/>
          <w:sz w:val="24"/>
          <w:szCs w:val="24"/>
          <w:u w:val="single"/>
        </w:rPr>
        <w:t>Üldised kohustused</w:t>
      </w:r>
    </w:p>
    <w:p w14:paraId="2E080529" w14:textId="77777777" w:rsidR="00944203" w:rsidRPr="001D6D36" w:rsidRDefault="00944203" w:rsidP="00944203">
      <w:pPr>
        <w:pStyle w:val="Loendilik"/>
        <w:numPr>
          <w:ilvl w:val="0"/>
          <w:numId w:val="3"/>
        </w:numPr>
        <w:suppressAutoHyphens/>
        <w:spacing w:after="0" w:line="240" w:lineRule="auto"/>
        <w:ind w:right="-2"/>
        <w:jc w:val="both"/>
        <w:rPr>
          <w:rFonts w:ascii="Times New Roman" w:hAnsi="Times New Roman"/>
          <w:sz w:val="28"/>
          <w:szCs w:val="28"/>
        </w:rPr>
      </w:pPr>
      <w:r>
        <w:rPr>
          <w:rFonts w:ascii="Times New Roman" w:hAnsi="Times New Roman"/>
          <w:sz w:val="24"/>
          <w:szCs w:val="24"/>
        </w:rPr>
        <w:t xml:space="preserve">Kehtestatakse </w:t>
      </w:r>
      <w:r w:rsidRPr="002C1888">
        <w:rPr>
          <w:rFonts w:ascii="Times New Roman" w:hAnsi="Times New Roman"/>
          <w:b/>
          <w:bCs/>
          <w:sz w:val="24"/>
          <w:szCs w:val="24"/>
        </w:rPr>
        <w:t>üldine kao ärahoidmise kohustus</w:t>
      </w:r>
      <w:r>
        <w:rPr>
          <w:rFonts w:ascii="Times New Roman" w:hAnsi="Times New Roman"/>
          <w:sz w:val="24"/>
          <w:szCs w:val="24"/>
        </w:rPr>
        <w:t xml:space="preserve"> </w:t>
      </w:r>
      <w:r w:rsidRPr="002C1888">
        <w:rPr>
          <w:rFonts w:ascii="Times New Roman" w:hAnsi="Times New Roman"/>
          <w:sz w:val="24"/>
          <w:szCs w:val="24"/>
        </w:rPr>
        <w:t xml:space="preserve">ettevõtjatele, ELi vedajatele ja kolmandate riikide vedajatele. </w:t>
      </w:r>
      <w:r w:rsidRPr="001D6D36">
        <w:rPr>
          <w:rFonts w:ascii="Times New Roman" w:hAnsi="Times New Roman"/>
          <w:sz w:val="24"/>
          <w:szCs w:val="24"/>
        </w:rPr>
        <w:t>Kao esinemisel</w:t>
      </w:r>
      <w:r>
        <w:rPr>
          <w:rFonts w:ascii="Times New Roman" w:hAnsi="Times New Roman"/>
          <w:sz w:val="24"/>
          <w:szCs w:val="24"/>
        </w:rPr>
        <w:t xml:space="preserve"> tuleb </w:t>
      </w:r>
      <w:r w:rsidRPr="001D6D36">
        <w:rPr>
          <w:rFonts w:ascii="Times New Roman" w:hAnsi="Times New Roman"/>
          <w:sz w:val="24"/>
          <w:szCs w:val="24"/>
        </w:rPr>
        <w:t xml:space="preserve">viivitamata </w:t>
      </w:r>
      <w:r>
        <w:rPr>
          <w:rFonts w:ascii="Times New Roman" w:hAnsi="Times New Roman"/>
          <w:sz w:val="24"/>
          <w:szCs w:val="24"/>
        </w:rPr>
        <w:t xml:space="preserve">rakendada </w:t>
      </w:r>
      <w:r w:rsidRPr="001D6D36">
        <w:rPr>
          <w:rFonts w:ascii="Times New Roman" w:hAnsi="Times New Roman"/>
          <w:sz w:val="24"/>
          <w:szCs w:val="24"/>
        </w:rPr>
        <w:t>meetmeid graanulite ära</w:t>
      </w:r>
      <w:r>
        <w:rPr>
          <w:rFonts w:ascii="Times New Roman" w:hAnsi="Times New Roman"/>
          <w:sz w:val="24"/>
          <w:szCs w:val="24"/>
        </w:rPr>
        <w:t xml:space="preserve"> </w:t>
      </w:r>
      <w:r w:rsidRPr="001D6D36">
        <w:rPr>
          <w:rFonts w:ascii="Times New Roman" w:hAnsi="Times New Roman"/>
          <w:sz w:val="24"/>
          <w:szCs w:val="24"/>
        </w:rPr>
        <w:t>koristamiseks</w:t>
      </w:r>
      <w:r>
        <w:rPr>
          <w:rFonts w:ascii="Times New Roman" w:hAnsi="Times New Roman"/>
          <w:sz w:val="24"/>
          <w:szCs w:val="24"/>
        </w:rPr>
        <w:t>.</w:t>
      </w:r>
    </w:p>
    <w:p w14:paraId="04BAC6B1" w14:textId="77777777" w:rsidR="00944203" w:rsidRPr="001D6D36" w:rsidRDefault="00944203" w:rsidP="00944203">
      <w:pPr>
        <w:pStyle w:val="Loendilik"/>
        <w:numPr>
          <w:ilvl w:val="0"/>
          <w:numId w:val="3"/>
        </w:numPr>
        <w:suppressAutoHyphens/>
        <w:spacing w:after="0" w:line="240" w:lineRule="auto"/>
        <w:ind w:right="-2"/>
        <w:jc w:val="both"/>
        <w:rPr>
          <w:rFonts w:ascii="Times New Roman" w:hAnsi="Times New Roman"/>
          <w:b/>
          <w:bCs/>
          <w:sz w:val="28"/>
          <w:szCs w:val="28"/>
        </w:rPr>
      </w:pPr>
      <w:r w:rsidRPr="002C1888">
        <w:rPr>
          <w:rFonts w:ascii="Times New Roman" w:hAnsi="Times New Roman"/>
          <w:sz w:val="24"/>
          <w:szCs w:val="24"/>
        </w:rPr>
        <w:t xml:space="preserve">Ettevõtjad ja ELi vedajad peavad </w:t>
      </w:r>
      <w:r w:rsidRPr="002C1888">
        <w:rPr>
          <w:rFonts w:ascii="Times New Roman" w:hAnsi="Times New Roman"/>
          <w:b/>
          <w:bCs/>
          <w:sz w:val="24"/>
          <w:szCs w:val="24"/>
        </w:rPr>
        <w:t>teavitama riiklikke pädevaid asutusi</w:t>
      </w:r>
      <w:r w:rsidRPr="002C1888">
        <w:rPr>
          <w:rFonts w:ascii="Times New Roman" w:hAnsi="Times New Roman"/>
          <w:sz w:val="24"/>
          <w:szCs w:val="24"/>
        </w:rPr>
        <w:t xml:space="preserve"> oma tegevusest seoses </w:t>
      </w:r>
      <w:r w:rsidRPr="001D6D36">
        <w:rPr>
          <w:rFonts w:ascii="Times New Roman" w:hAnsi="Times New Roman"/>
          <w:sz w:val="24"/>
          <w:szCs w:val="24"/>
        </w:rPr>
        <w:t>plastigraanulite käitlemisega, või plastigraanulite veoga tegelemisest</w:t>
      </w:r>
      <w:r>
        <w:rPr>
          <w:rFonts w:ascii="Times New Roman" w:hAnsi="Times New Roman"/>
          <w:sz w:val="24"/>
          <w:szCs w:val="24"/>
        </w:rPr>
        <w:t>, sh olulisematest muudatustest.</w:t>
      </w:r>
    </w:p>
    <w:p w14:paraId="0C651892" w14:textId="77777777" w:rsidR="00944203" w:rsidRPr="00FD5476" w:rsidRDefault="00944203" w:rsidP="00944203">
      <w:pPr>
        <w:pStyle w:val="Loendilik"/>
        <w:numPr>
          <w:ilvl w:val="0"/>
          <w:numId w:val="3"/>
        </w:numPr>
        <w:suppressAutoHyphens/>
        <w:spacing w:after="0" w:line="240" w:lineRule="auto"/>
        <w:ind w:right="-2"/>
        <w:jc w:val="both"/>
        <w:rPr>
          <w:rFonts w:ascii="Times New Roman" w:hAnsi="Times New Roman"/>
          <w:b/>
          <w:bCs/>
          <w:sz w:val="28"/>
          <w:szCs w:val="28"/>
        </w:rPr>
      </w:pPr>
      <w:r>
        <w:rPr>
          <w:rFonts w:ascii="Times New Roman" w:hAnsi="Times New Roman"/>
          <w:sz w:val="24"/>
          <w:szCs w:val="24"/>
        </w:rPr>
        <w:t xml:space="preserve">Liikmesriigi pädevad asutused peavad looma avaliku registri, mis sisaldab neile esitatud infot. </w:t>
      </w:r>
    </w:p>
    <w:p w14:paraId="1D6C4938" w14:textId="77777777" w:rsidR="00944203" w:rsidRPr="00FD5476" w:rsidRDefault="00944203" w:rsidP="00944203">
      <w:pPr>
        <w:pStyle w:val="Loendilik"/>
        <w:numPr>
          <w:ilvl w:val="0"/>
          <w:numId w:val="3"/>
        </w:numPr>
        <w:suppressAutoHyphens/>
        <w:spacing w:after="0" w:line="240" w:lineRule="auto"/>
        <w:ind w:right="-2"/>
        <w:jc w:val="both"/>
        <w:rPr>
          <w:rFonts w:ascii="Times New Roman" w:hAnsi="Times New Roman"/>
          <w:sz w:val="28"/>
          <w:szCs w:val="28"/>
        </w:rPr>
      </w:pPr>
      <w:r>
        <w:rPr>
          <w:rFonts w:ascii="Times New Roman" w:hAnsi="Times New Roman"/>
          <w:sz w:val="24"/>
          <w:szCs w:val="24"/>
        </w:rPr>
        <w:t>K</w:t>
      </w:r>
      <w:r w:rsidRPr="0011039A">
        <w:rPr>
          <w:rFonts w:ascii="Times New Roman" w:hAnsi="Times New Roman"/>
          <w:sz w:val="24"/>
          <w:szCs w:val="24"/>
        </w:rPr>
        <w:t xml:space="preserve">õik ettevõtjad, ELi vedajad ja kolmandate riikide vedajad </w:t>
      </w:r>
      <w:r w:rsidRPr="00FD5476">
        <w:rPr>
          <w:rFonts w:ascii="Times New Roman" w:hAnsi="Times New Roman"/>
          <w:b/>
          <w:bCs/>
          <w:sz w:val="24"/>
          <w:szCs w:val="24"/>
        </w:rPr>
        <w:t>peavad võtma meetmeid</w:t>
      </w:r>
      <w:r w:rsidRPr="0011039A">
        <w:rPr>
          <w:rFonts w:ascii="Times New Roman" w:hAnsi="Times New Roman"/>
          <w:sz w:val="24"/>
          <w:szCs w:val="24"/>
        </w:rPr>
        <w:t xml:space="preserve"> järgmises tähtsuse järjekorras: </w:t>
      </w:r>
    </w:p>
    <w:p w14:paraId="5E41BB50" w14:textId="77777777" w:rsidR="00944203" w:rsidRDefault="00944203" w:rsidP="00944203">
      <w:pPr>
        <w:pStyle w:val="Loendilik"/>
        <w:numPr>
          <w:ilvl w:val="1"/>
          <w:numId w:val="3"/>
        </w:numPr>
        <w:suppressAutoHyphens/>
        <w:spacing w:after="0" w:line="240" w:lineRule="auto"/>
        <w:ind w:right="-2"/>
        <w:jc w:val="both"/>
        <w:rPr>
          <w:rFonts w:ascii="Times New Roman" w:hAnsi="Times New Roman"/>
          <w:sz w:val="24"/>
          <w:szCs w:val="24"/>
        </w:rPr>
      </w:pPr>
      <w:r w:rsidRPr="0011039A">
        <w:rPr>
          <w:rFonts w:ascii="Times New Roman" w:hAnsi="Times New Roman"/>
          <w:sz w:val="24"/>
          <w:szCs w:val="24"/>
        </w:rPr>
        <w:t xml:space="preserve">ennetamine, hoidmaks ära graanulite väljapuistumist esmasest kaitsekestast; </w:t>
      </w:r>
    </w:p>
    <w:p w14:paraId="1ABBE154" w14:textId="77777777" w:rsidR="00944203" w:rsidRDefault="00944203" w:rsidP="00944203">
      <w:pPr>
        <w:pStyle w:val="Loendilik"/>
        <w:numPr>
          <w:ilvl w:val="1"/>
          <w:numId w:val="3"/>
        </w:numPr>
        <w:suppressAutoHyphens/>
        <w:spacing w:after="0" w:line="240" w:lineRule="auto"/>
        <w:ind w:right="-2"/>
        <w:jc w:val="both"/>
        <w:rPr>
          <w:rFonts w:ascii="Times New Roman" w:hAnsi="Times New Roman"/>
          <w:sz w:val="24"/>
          <w:szCs w:val="24"/>
        </w:rPr>
      </w:pPr>
      <w:r w:rsidRPr="0011039A">
        <w:rPr>
          <w:rFonts w:ascii="Times New Roman" w:hAnsi="Times New Roman"/>
          <w:sz w:val="24"/>
          <w:szCs w:val="24"/>
        </w:rPr>
        <w:t>väljapuistunud graanulite laialikandumise tõkestamine, et hoida ära nende sattumist keskkonda</w:t>
      </w:r>
      <w:r>
        <w:rPr>
          <w:rFonts w:ascii="Times New Roman" w:hAnsi="Times New Roman"/>
          <w:sz w:val="24"/>
          <w:szCs w:val="24"/>
        </w:rPr>
        <w:t>;</w:t>
      </w:r>
    </w:p>
    <w:p w14:paraId="34C01142" w14:textId="77777777" w:rsidR="00944203" w:rsidRDefault="00944203" w:rsidP="00944203">
      <w:pPr>
        <w:pStyle w:val="Loendilik"/>
        <w:numPr>
          <w:ilvl w:val="1"/>
          <w:numId w:val="3"/>
        </w:numPr>
        <w:suppressAutoHyphens/>
        <w:spacing w:after="0" w:line="240" w:lineRule="auto"/>
        <w:ind w:right="-2"/>
        <w:jc w:val="both"/>
        <w:rPr>
          <w:rFonts w:ascii="Times New Roman" w:hAnsi="Times New Roman"/>
          <w:sz w:val="24"/>
          <w:szCs w:val="24"/>
        </w:rPr>
      </w:pPr>
      <w:r w:rsidRPr="0011039A">
        <w:rPr>
          <w:rFonts w:ascii="Times New Roman" w:hAnsi="Times New Roman"/>
          <w:sz w:val="24"/>
          <w:szCs w:val="24"/>
        </w:rPr>
        <w:t>nende ära</w:t>
      </w:r>
      <w:r>
        <w:rPr>
          <w:rFonts w:ascii="Times New Roman" w:hAnsi="Times New Roman"/>
          <w:sz w:val="24"/>
          <w:szCs w:val="24"/>
        </w:rPr>
        <w:t xml:space="preserve"> </w:t>
      </w:r>
      <w:r w:rsidRPr="0011039A">
        <w:rPr>
          <w:rFonts w:ascii="Times New Roman" w:hAnsi="Times New Roman"/>
          <w:sz w:val="24"/>
          <w:szCs w:val="24"/>
        </w:rPr>
        <w:t>koristamine pärast väljapuistumise või kao juhtumit.</w:t>
      </w:r>
      <w:r>
        <w:rPr>
          <w:rFonts w:ascii="Times New Roman" w:hAnsi="Times New Roman"/>
          <w:sz w:val="24"/>
          <w:szCs w:val="24"/>
        </w:rPr>
        <w:t xml:space="preserve"> </w:t>
      </w:r>
    </w:p>
    <w:p w14:paraId="4762DE3A" w14:textId="77777777" w:rsidR="00944203" w:rsidRPr="00C8193D" w:rsidRDefault="00944203" w:rsidP="00944203">
      <w:pPr>
        <w:pStyle w:val="Loendilik"/>
        <w:suppressAutoHyphens/>
        <w:spacing w:after="0" w:line="240" w:lineRule="auto"/>
        <w:ind w:right="-2"/>
        <w:jc w:val="both"/>
        <w:rPr>
          <w:rFonts w:ascii="Times New Roman" w:hAnsi="Times New Roman"/>
          <w:sz w:val="28"/>
          <w:szCs w:val="28"/>
        </w:rPr>
      </w:pPr>
      <w:r>
        <w:rPr>
          <w:rFonts w:ascii="Times New Roman" w:hAnsi="Times New Roman"/>
          <w:sz w:val="24"/>
          <w:szCs w:val="24"/>
        </w:rPr>
        <w:t>L</w:t>
      </w:r>
      <w:r w:rsidRPr="00C26CF0">
        <w:rPr>
          <w:rFonts w:ascii="Times New Roman" w:hAnsi="Times New Roman"/>
          <w:sz w:val="24"/>
          <w:szCs w:val="24"/>
        </w:rPr>
        <w:t>iikmesriikide pädevatele asutustel</w:t>
      </w:r>
      <w:r>
        <w:rPr>
          <w:rFonts w:ascii="Times New Roman" w:hAnsi="Times New Roman"/>
          <w:sz w:val="24"/>
          <w:szCs w:val="24"/>
        </w:rPr>
        <w:t xml:space="preserve"> on </w:t>
      </w:r>
      <w:r w:rsidRPr="00C26CF0">
        <w:rPr>
          <w:rFonts w:ascii="Times New Roman" w:hAnsi="Times New Roman"/>
          <w:sz w:val="24"/>
          <w:szCs w:val="24"/>
        </w:rPr>
        <w:t>õigus nõuda ettevõtjatelt täiendavate meetmete rakendamist, kui kavades kehtestatud ja ellu rakendatud meetmeid ei peeta piisavaks.</w:t>
      </w:r>
    </w:p>
    <w:p w14:paraId="36F43B53" w14:textId="77777777" w:rsidR="00944203" w:rsidRPr="002C1888" w:rsidRDefault="00944203" w:rsidP="00944203">
      <w:pPr>
        <w:suppressAutoHyphens/>
        <w:spacing w:after="0" w:line="240" w:lineRule="auto"/>
        <w:ind w:right="-2"/>
        <w:jc w:val="both"/>
        <w:rPr>
          <w:rFonts w:ascii="Times New Roman" w:hAnsi="Times New Roman"/>
          <w:b/>
          <w:bCs/>
          <w:sz w:val="28"/>
          <w:szCs w:val="28"/>
        </w:rPr>
      </w:pPr>
    </w:p>
    <w:p w14:paraId="5294BA57" w14:textId="77777777" w:rsidR="00944203" w:rsidRPr="005813B9" w:rsidRDefault="00944203" w:rsidP="00944203">
      <w:pPr>
        <w:suppressAutoHyphens/>
        <w:spacing w:after="0" w:line="240" w:lineRule="auto"/>
        <w:ind w:right="-2"/>
        <w:jc w:val="both"/>
        <w:rPr>
          <w:rFonts w:ascii="Times New Roman" w:hAnsi="Times New Roman"/>
          <w:b/>
          <w:bCs/>
          <w:sz w:val="24"/>
          <w:szCs w:val="24"/>
          <w:u w:val="single"/>
        </w:rPr>
      </w:pPr>
      <w:r w:rsidRPr="005813B9">
        <w:rPr>
          <w:rFonts w:ascii="Times New Roman" w:hAnsi="Times New Roman"/>
          <w:b/>
          <w:bCs/>
          <w:sz w:val="24"/>
          <w:szCs w:val="24"/>
          <w:u w:val="single"/>
        </w:rPr>
        <w:t xml:space="preserve">Sätestatakse käitlemisnõuded </w:t>
      </w:r>
    </w:p>
    <w:p w14:paraId="2EBD779E" w14:textId="77777777" w:rsidR="00944203" w:rsidRPr="001D6D36" w:rsidRDefault="00944203" w:rsidP="00944203">
      <w:pPr>
        <w:pStyle w:val="Loendilik"/>
        <w:numPr>
          <w:ilvl w:val="0"/>
          <w:numId w:val="6"/>
        </w:numPr>
        <w:suppressAutoHyphens/>
        <w:spacing w:after="0" w:line="240" w:lineRule="auto"/>
        <w:ind w:right="-2"/>
        <w:jc w:val="both"/>
        <w:rPr>
          <w:rFonts w:ascii="Times New Roman" w:hAnsi="Times New Roman"/>
          <w:b/>
          <w:bCs/>
          <w:sz w:val="24"/>
          <w:szCs w:val="24"/>
        </w:rPr>
      </w:pPr>
      <w:r w:rsidRPr="001D6D36">
        <w:rPr>
          <w:rFonts w:ascii="Times New Roman" w:hAnsi="Times New Roman"/>
          <w:b/>
          <w:bCs/>
          <w:sz w:val="24"/>
          <w:szCs w:val="24"/>
        </w:rPr>
        <w:t>Ettevõtjad, kes käitavad käitisi, kus käideldakse plastigraanuleid:</w:t>
      </w:r>
    </w:p>
    <w:p w14:paraId="35A2C456" w14:textId="77777777" w:rsidR="00944203" w:rsidRPr="005813B9" w:rsidRDefault="00944203" w:rsidP="00944203">
      <w:pPr>
        <w:pStyle w:val="Loendilik"/>
        <w:numPr>
          <w:ilvl w:val="1"/>
          <w:numId w:val="6"/>
        </w:numPr>
        <w:suppressAutoHyphens/>
        <w:spacing w:after="0" w:line="240" w:lineRule="auto"/>
        <w:ind w:right="-2"/>
        <w:jc w:val="both"/>
        <w:rPr>
          <w:rFonts w:ascii="Times New Roman" w:hAnsi="Times New Roman"/>
          <w:sz w:val="24"/>
          <w:szCs w:val="24"/>
        </w:rPr>
      </w:pPr>
      <w:r w:rsidRPr="005813B9">
        <w:rPr>
          <w:rFonts w:ascii="Times New Roman" w:hAnsi="Times New Roman"/>
          <w:b/>
          <w:bCs/>
          <w:sz w:val="24"/>
          <w:szCs w:val="24"/>
        </w:rPr>
        <w:t>koostavad riskihindamiskava</w:t>
      </w:r>
      <w:r w:rsidRPr="005813B9">
        <w:rPr>
          <w:rFonts w:ascii="Times New Roman" w:hAnsi="Times New Roman"/>
          <w:sz w:val="24"/>
          <w:szCs w:val="24"/>
        </w:rPr>
        <w:t xml:space="preserve"> ning rakendavad ja ajakohastavad seda kooskõlas I lisaga;</w:t>
      </w:r>
    </w:p>
    <w:p w14:paraId="4052EC36" w14:textId="77777777" w:rsidR="00944203" w:rsidRDefault="00944203" w:rsidP="00944203">
      <w:pPr>
        <w:pStyle w:val="Loendilik"/>
        <w:numPr>
          <w:ilvl w:val="1"/>
          <w:numId w:val="6"/>
        </w:numPr>
        <w:suppressAutoHyphens/>
        <w:spacing w:after="0" w:line="240" w:lineRule="auto"/>
        <w:ind w:right="-2"/>
        <w:jc w:val="both"/>
        <w:rPr>
          <w:rFonts w:ascii="Times New Roman" w:hAnsi="Times New Roman"/>
          <w:sz w:val="24"/>
          <w:szCs w:val="24"/>
        </w:rPr>
      </w:pPr>
      <w:r w:rsidRPr="005813B9">
        <w:rPr>
          <w:rFonts w:ascii="Times New Roman" w:hAnsi="Times New Roman"/>
          <w:b/>
          <w:bCs/>
          <w:sz w:val="24"/>
          <w:szCs w:val="24"/>
        </w:rPr>
        <w:t>esitavad</w:t>
      </w:r>
      <w:r w:rsidRPr="005813B9">
        <w:rPr>
          <w:rFonts w:ascii="Times New Roman" w:hAnsi="Times New Roman"/>
          <w:sz w:val="24"/>
          <w:szCs w:val="24"/>
        </w:rPr>
        <w:t xml:space="preserve"> oma riskihindamiskava pädevale asutusele koos ettevõtja </w:t>
      </w:r>
      <w:r w:rsidRPr="005813B9">
        <w:rPr>
          <w:rFonts w:ascii="Times New Roman" w:hAnsi="Times New Roman"/>
          <w:b/>
          <w:bCs/>
          <w:sz w:val="24"/>
          <w:szCs w:val="24"/>
        </w:rPr>
        <w:t>vastavusdeklaratsiooniga</w:t>
      </w:r>
      <w:r w:rsidRPr="005813B9">
        <w:rPr>
          <w:rFonts w:ascii="Times New Roman" w:hAnsi="Times New Roman"/>
          <w:sz w:val="24"/>
          <w:szCs w:val="24"/>
        </w:rPr>
        <w:t xml:space="preserve">, mis on välja antud lähtuvalt II lisas esitatud näidisvormist; </w:t>
      </w:r>
    </w:p>
    <w:p w14:paraId="483CACB5" w14:textId="77777777" w:rsidR="00944203" w:rsidRDefault="00944203" w:rsidP="00944203">
      <w:pPr>
        <w:pStyle w:val="Loendilik"/>
        <w:numPr>
          <w:ilvl w:val="1"/>
          <w:numId w:val="6"/>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koolitavad oma töötajaid;</w:t>
      </w:r>
    </w:p>
    <w:p w14:paraId="5ABA7478" w14:textId="77777777" w:rsidR="00944203" w:rsidRDefault="00944203" w:rsidP="00944203">
      <w:pPr>
        <w:pStyle w:val="Loendilik"/>
        <w:numPr>
          <w:ilvl w:val="1"/>
          <w:numId w:val="6"/>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 xml:space="preserve">jälgivad ja dokumenteerivad oma asjakohaseid rakendusmeetmeid ja hinnangulist graanulikadu, võttes muu hulgas vajaduse korral parandusmeetmeid, ning tegelevad plastigraanulitega seotud oluliste vahejuhtumite ja õnnetustega; </w:t>
      </w:r>
    </w:p>
    <w:p w14:paraId="3E12FBD5" w14:textId="77777777" w:rsidR="00944203" w:rsidRDefault="00944203" w:rsidP="00944203">
      <w:pPr>
        <w:pStyle w:val="Loendilik"/>
        <w:numPr>
          <w:ilvl w:val="1"/>
          <w:numId w:val="6"/>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 xml:space="preserve">keskmise suurusega ettevõtjad ja suurettevõtjad, kes käitavad käitisi, kus käideldakse aastas </w:t>
      </w:r>
      <w:r w:rsidRPr="005813B9">
        <w:rPr>
          <w:rFonts w:ascii="Times New Roman" w:hAnsi="Times New Roman"/>
          <w:sz w:val="24"/>
          <w:szCs w:val="24"/>
          <w:u w:val="single"/>
        </w:rPr>
        <w:t>üle 1 000 tonni plastigraanuleid</w:t>
      </w:r>
      <w:r>
        <w:rPr>
          <w:rFonts w:ascii="Times New Roman" w:hAnsi="Times New Roman"/>
          <w:sz w:val="24"/>
          <w:szCs w:val="24"/>
          <w:u w:val="single"/>
        </w:rPr>
        <w:t>:</w:t>
      </w:r>
      <w:r w:rsidRPr="005813B9">
        <w:rPr>
          <w:rFonts w:ascii="Times New Roman" w:hAnsi="Times New Roman"/>
          <w:sz w:val="24"/>
          <w:szCs w:val="24"/>
        </w:rPr>
        <w:t xml:space="preserve"> </w:t>
      </w:r>
    </w:p>
    <w:p w14:paraId="7953E4DB" w14:textId="77777777" w:rsidR="00944203" w:rsidRDefault="00944203" w:rsidP="00944203">
      <w:pPr>
        <w:pStyle w:val="Loendilik"/>
        <w:numPr>
          <w:ilvl w:val="2"/>
          <w:numId w:val="6"/>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 xml:space="preserve">viivad </w:t>
      </w:r>
      <w:r w:rsidRPr="005813B9">
        <w:rPr>
          <w:rFonts w:ascii="Times New Roman" w:hAnsi="Times New Roman"/>
          <w:b/>
          <w:bCs/>
          <w:sz w:val="24"/>
          <w:szCs w:val="24"/>
        </w:rPr>
        <w:t>igal aastal</w:t>
      </w:r>
      <w:r w:rsidRPr="005813B9">
        <w:rPr>
          <w:rFonts w:ascii="Times New Roman" w:hAnsi="Times New Roman"/>
          <w:sz w:val="24"/>
          <w:szCs w:val="24"/>
        </w:rPr>
        <w:t xml:space="preserve"> läbi </w:t>
      </w:r>
      <w:r w:rsidRPr="005813B9">
        <w:rPr>
          <w:rFonts w:ascii="Times New Roman" w:hAnsi="Times New Roman"/>
          <w:b/>
          <w:bCs/>
          <w:sz w:val="24"/>
          <w:szCs w:val="24"/>
        </w:rPr>
        <w:t>sisehindamise</w:t>
      </w:r>
      <w:r>
        <w:rPr>
          <w:rFonts w:ascii="Times New Roman" w:hAnsi="Times New Roman"/>
          <w:sz w:val="24"/>
          <w:szCs w:val="24"/>
        </w:rPr>
        <w:t>;</w:t>
      </w:r>
    </w:p>
    <w:p w14:paraId="227F9488" w14:textId="77777777" w:rsidR="00944203" w:rsidRDefault="00944203" w:rsidP="00944203">
      <w:pPr>
        <w:pStyle w:val="Loendilik"/>
        <w:numPr>
          <w:ilvl w:val="2"/>
          <w:numId w:val="6"/>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 xml:space="preserve">võtavad riskihindamiskava raames ühtlasi </w:t>
      </w:r>
      <w:r w:rsidRPr="005813B9">
        <w:rPr>
          <w:rFonts w:ascii="Times New Roman" w:hAnsi="Times New Roman"/>
          <w:b/>
          <w:bCs/>
          <w:sz w:val="24"/>
          <w:szCs w:val="24"/>
        </w:rPr>
        <w:t>täiendavaid meetmeid</w:t>
      </w:r>
      <w:r w:rsidRPr="005813B9">
        <w:rPr>
          <w:rFonts w:ascii="Times New Roman" w:hAnsi="Times New Roman"/>
          <w:sz w:val="24"/>
          <w:szCs w:val="24"/>
        </w:rPr>
        <w:t xml:space="preserve"> kooskõlas I lisaga;</w:t>
      </w:r>
    </w:p>
    <w:p w14:paraId="1371D956" w14:textId="2A8F0691" w:rsidR="00944203" w:rsidRPr="001D6D36" w:rsidRDefault="00944203" w:rsidP="00944203">
      <w:pPr>
        <w:pStyle w:val="Loendilik"/>
        <w:numPr>
          <w:ilvl w:val="2"/>
          <w:numId w:val="6"/>
        </w:numPr>
        <w:suppressAutoHyphens/>
        <w:spacing w:after="0" w:line="240" w:lineRule="auto"/>
        <w:ind w:right="-2"/>
        <w:jc w:val="both"/>
        <w:rPr>
          <w:rFonts w:ascii="Times New Roman" w:hAnsi="Times New Roman"/>
          <w:sz w:val="24"/>
          <w:szCs w:val="24"/>
        </w:rPr>
      </w:pPr>
      <w:r w:rsidRPr="005813B9">
        <w:rPr>
          <w:rFonts w:ascii="Times New Roman" w:hAnsi="Times New Roman"/>
          <w:sz w:val="24"/>
          <w:szCs w:val="24"/>
        </w:rPr>
        <w:t>peab olema välja antud I</w:t>
      </w:r>
      <w:r w:rsidR="0081219F">
        <w:rPr>
          <w:rFonts w:ascii="Times New Roman" w:hAnsi="Times New Roman"/>
          <w:sz w:val="24"/>
          <w:szCs w:val="24"/>
        </w:rPr>
        <w:t>V</w:t>
      </w:r>
      <w:r w:rsidRPr="005813B9">
        <w:rPr>
          <w:rFonts w:ascii="Times New Roman" w:hAnsi="Times New Roman"/>
          <w:sz w:val="24"/>
          <w:szCs w:val="24"/>
        </w:rPr>
        <w:t xml:space="preserve"> lisas esitatud näidisvormi kohane </w:t>
      </w:r>
      <w:r w:rsidRPr="005813B9">
        <w:rPr>
          <w:rFonts w:ascii="Times New Roman" w:hAnsi="Times New Roman"/>
          <w:b/>
          <w:bCs/>
          <w:sz w:val="24"/>
          <w:szCs w:val="24"/>
        </w:rPr>
        <w:t>vastavustunnistus</w:t>
      </w:r>
      <w:r w:rsidRPr="005813B9">
        <w:rPr>
          <w:rFonts w:ascii="Times New Roman" w:hAnsi="Times New Roman"/>
          <w:sz w:val="24"/>
          <w:szCs w:val="24"/>
        </w:rPr>
        <w:t xml:space="preserve">. </w:t>
      </w:r>
    </w:p>
    <w:p w14:paraId="11AB6700" w14:textId="77777777" w:rsidR="00944203" w:rsidRPr="001D6D36" w:rsidRDefault="00944203" w:rsidP="00944203">
      <w:pPr>
        <w:pStyle w:val="Loendilik"/>
        <w:numPr>
          <w:ilvl w:val="0"/>
          <w:numId w:val="6"/>
        </w:numPr>
        <w:suppressAutoHyphens/>
        <w:spacing w:after="0" w:line="240" w:lineRule="auto"/>
        <w:ind w:right="-2"/>
        <w:jc w:val="both"/>
        <w:rPr>
          <w:rFonts w:ascii="Times New Roman" w:hAnsi="Times New Roman"/>
          <w:b/>
          <w:bCs/>
          <w:sz w:val="24"/>
          <w:szCs w:val="24"/>
        </w:rPr>
      </w:pPr>
      <w:r w:rsidRPr="001D6D36">
        <w:rPr>
          <w:rFonts w:ascii="Times New Roman" w:hAnsi="Times New Roman"/>
          <w:b/>
          <w:bCs/>
          <w:sz w:val="24"/>
          <w:szCs w:val="24"/>
        </w:rPr>
        <w:t>ELi vedajad:</w:t>
      </w:r>
    </w:p>
    <w:p w14:paraId="779B2BA9" w14:textId="77777777" w:rsidR="00944203" w:rsidRDefault="00944203" w:rsidP="00944203">
      <w:pPr>
        <w:pStyle w:val="Loendilik"/>
        <w:numPr>
          <w:ilvl w:val="1"/>
          <w:numId w:val="6"/>
        </w:numPr>
        <w:suppressAutoHyphens/>
        <w:spacing w:after="0" w:line="240" w:lineRule="auto"/>
        <w:ind w:right="-2"/>
        <w:jc w:val="both"/>
        <w:rPr>
          <w:rFonts w:ascii="Times New Roman" w:hAnsi="Times New Roman"/>
          <w:sz w:val="24"/>
          <w:szCs w:val="24"/>
        </w:rPr>
      </w:pPr>
      <w:r w:rsidRPr="001D6D36">
        <w:rPr>
          <w:rFonts w:ascii="Times New Roman" w:hAnsi="Times New Roman"/>
          <w:sz w:val="24"/>
          <w:szCs w:val="24"/>
        </w:rPr>
        <w:t xml:space="preserve">rakendavad teatavaid III lisa kohaseid meetmeid; </w:t>
      </w:r>
    </w:p>
    <w:p w14:paraId="16E6E93C" w14:textId="77777777" w:rsidR="00944203" w:rsidRDefault="00944203" w:rsidP="00944203">
      <w:pPr>
        <w:pStyle w:val="Loendilik"/>
        <w:numPr>
          <w:ilvl w:val="1"/>
          <w:numId w:val="6"/>
        </w:numPr>
        <w:suppressAutoHyphens/>
        <w:spacing w:after="0" w:line="240" w:lineRule="auto"/>
        <w:ind w:right="-2"/>
        <w:jc w:val="both"/>
        <w:rPr>
          <w:rFonts w:ascii="Times New Roman" w:hAnsi="Times New Roman"/>
          <w:sz w:val="24"/>
          <w:szCs w:val="24"/>
        </w:rPr>
      </w:pPr>
      <w:r w:rsidRPr="001D6D36">
        <w:rPr>
          <w:rFonts w:ascii="Times New Roman" w:hAnsi="Times New Roman"/>
          <w:sz w:val="24"/>
          <w:szCs w:val="24"/>
        </w:rPr>
        <w:t>koolitavad oma töötajaid;</w:t>
      </w:r>
    </w:p>
    <w:p w14:paraId="338E5992" w14:textId="77777777" w:rsidR="00944203" w:rsidRPr="001D6D36" w:rsidRDefault="00944203" w:rsidP="00944203">
      <w:pPr>
        <w:pStyle w:val="Loendilik"/>
        <w:numPr>
          <w:ilvl w:val="1"/>
          <w:numId w:val="6"/>
        </w:numPr>
        <w:suppressAutoHyphens/>
        <w:spacing w:after="0" w:line="240" w:lineRule="auto"/>
        <w:ind w:right="-2"/>
        <w:jc w:val="both"/>
        <w:rPr>
          <w:rFonts w:ascii="Times New Roman" w:hAnsi="Times New Roman"/>
          <w:sz w:val="24"/>
          <w:szCs w:val="24"/>
        </w:rPr>
      </w:pPr>
      <w:r w:rsidRPr="001D6D36">
        <w:rPr>
          <w:rFonts w:ascii="Times New Roman" w:hAnsi="Times New Roman"/>
          <w:sz w:val="24"/>
          <w:szCs w:val="24"/>
        </w:rPr>
        <w:t xml:space="preserve">jälgivad ja dokumenteerivad oma asjakohaseid rakendusmeetmeid ja hinnangulist graanulikadu, võttes muu hulgas vajaduse korral </w:t>
      </w:r>
      <w:r w:rsidRPr="001D6D36">
        <w:rPr>
          <w:rFonts w:ascii="Times New Roman" w:hAnsi="Times New Roman"/>
          <w:sz w:val="24"/>
          <w:szCs w:val="24"/>
        </w:rPr>
        <w:lastRenderedPageBreak/>
        <w:t>parandusmeetmeid, ning tegelevad plastigraanulitega seotud oluliste vahejuhtumite ja õnnetustega.</w:t>
      </w:r>
    </w:p>
    <w:p w14:paraId="770F0768" w14:textId="77777777" w:rsidR="00944203" w:rsidRPr="001D6D36" w:rsidRDefault="00944203" w:rsidP="00944203">
      <w:pPr>
        <w:pStyle w:val="Loendilik"/>
        <w:numPr>
          <w:ilvl w:val="0"/>
          <w:numId w:val="7"/>
        </w:numPr>
        <w:suppressAutoHyphens/>
        <w:spacing w:after="0" w:line="240" w:lineRule="auto"/>
        <w:ind w:right="-2"/>
        <w:jc w:val="both"/>
        <w:rPr>
          <w:rFonts w:ascii="Times New Roman" w:hAnsi="Times New Roman"/>
          <w:b/>
          <w:bCs/>
          <w:sz w:val="24"/>
          <w:szCs w:val="24"/>
        </w:rPr>
      </w:pPr>
      <w:r w:rsidRPr="001D6D36">
        <w:rPr>
          <w:rFonts w:ascii="Times New Roman" w:hAnsi="Times New Roman"/>
          <w:b/>
          <w:bCs/>
          <w:sz w:val="24"/>
          <w:szCs w:val="24"/>
        </w:rPr>
        <w:t>Kolmandate riikide vedajad:</w:t>
      </w:r>
    </w:p>
    <w:p w14:paraId="169C2B07" w14:textId="77777777" w:rsidR="00944203" w:rsidRPr="001D6D36" w:rsidRDefault="00944203" w:rsidP="00944203">
      <w:pPr>
        <w:pStyle w:val="Loendilik"/>
        <w:numPr>
          <w:ilvl w:val="1"/>
          <w:numId w:val="7"/>
        </w:numPr>
        <w:suppressAutoHyphens/>
        <w:spacing w:after="0" w:line="240" w:lineRule="auto"/>
        <w:ind w:right="-2"/>
        <w:jc w:val="both"/>
        <w:rPr>
          <w:rFonts w:ascii="Times New Roman" w:hAnsi="Times New Roman"/>
          <w:sz w:val="24"/>
          <w:szCs w:val="24"/>
        </w:rPr>
      </w:pPr>
      <w:r w:rsidRPr="001D6D36">
        <w:rPr>
          <w:rFonts w:ascii="Times New Roman" w:hAnsi="Times New Roman"/>
          <w:sz w:val="24"/>
          <w:szCs w:val="24"/>
        </w:rPr>
        <w:t>rakendavad teatavaid III lisa kohaseid meetmeid.</w:t>
      </w:r>
    </w:p>
    <w:p w14:paraId="002B63F8" w14:textId="77777777" w:rsidR="00944203" w:rsidRDefault="00944203" w:rsidP="00944203">
      <w:pPr>
        <w:suppressAutoHyphens/>
        <w:spacing w:after="0" w:line="240" w:lineRule="auto"/>
        <w:ind w:right="-2"/>
        <w:jc w:val="both"/>
        <w:rPr>
          <w:rFonts w:ascii="Times New Roman" w:hAnsi="Times New Roman"/>
          <w:sz w:val="24"/>
          <w:szCs w:val="24"/>
          <w:u w:val="single"/>
        </w:rPr>
      </w:pPr>
    </w:p>
    <w:p w14:paraId="1BA6CBF5" w14:textId="77777777" w:rsidR="00944203" w:rsidRPr="002053C4" w:rsidRDefault="00944203" w:rsidP="00944203">
      <w:pPr>
        <w:pStyle w:val="Loendilik"/>
        <w:numPr>
          <w:ilvl w:val="0"/>
          <w:numId w:val="5"/>
        </w:numPr>
        <w:suppressAutoHyphens/>
        <w:spacing w:after="0" w:line="240" w:lineRule="auto"/>
        <w:ind w:right="-2"/>
        <w:jc w:val="both"/>
        <w:rPr>
          <w:rFonts w:ascii="Times New Roman" w:hAnsi="Times New Roman"/>
          <w:b/>
          <w:bCs/>
          <w:sz w:val="24"/>
          <w:szCs w:val="24"/>
        </w:rPr>
      </w:pPr>
      <w:r w:rsidRPr="002053C4">
        <w:rPr>
          <w:rFonts w:ascii="Times New Roman" w:hAnsi="Times New Roman"/>
          <w:b/>
          <w:bCs/>
          <w:sz w:val="24"/>
          <w:szCs w:val="24"/>
        </w:rPr>
        <w:t>Nõuete leevendused VKEdele</w:t>
      </w:r>
    </w:p>
    <w:p w14:paraId="68EB2595" w14:textId="77777777" w:rsidR="00944203" w:rsidRDefault="00944203" w:rsidP="00944203">
      <w:pPr>
        <w:pStyle w:val="Loendilik"/>
        <w:numPr>
          <w:ilvl w:val="1"/>
          <w:numId w:val="5"/>
        </w:numPr>
        <w:suppressAutoHyphens/>
        <w:spacing w:after="0" w:line="240" w:lineRule="auto"/>
        <w:ind w:right="-2"/>
        <w:jc w:val="both"/>
        <w:rPr>
          <w:rFonts w:ascii="Times New Roman" w:hAnsi="Times New Roman"/>
          <w:sz w:val="24"/>
          <w:szCs w:val="24"/>
        </w:rPr>
      </w:pPr>
      <w:r w:rsidRPr="0011039A">
        <w:rPr>
          <w:rFonts w:ascii="Times New Roman" w:hAnsi="Times New Roman"/>
          <w:sz w:val="24"/>
          <w:szCs w:val="24"/>
        </w:rPr>
        <w:t xml:space="preserve">Kõnealused nõuete leevendused mikro- ja väikeettevõtjatele ning käitiste puhul, kus käideldakse aastas alla 1 000 tonni plastigraanuleid, on järgmised: </w:t>
      </w:r>
    </w:p>
    <w:p w14:paraId="200DBA78" w14:textId="77777777" w:rsidR="00944203" w:rsidRDefault="00944203" w:rsidP="00944203">
      <w:pPr>
        <w:pStyle w:val="Loendilik"/>
        <w:numPr>
          <w:ilvl w:val="0"/>
          <w:numId w:val="8"/>
        </w:numPr>
        <w:suppressAutoHyphens/>
        <w:spacing w:after="0" w:line="240" w:lineRule="auto"/>
        <w:ind w:right="-2"/>
        <w:jc w:val="both"/>
        <w:rPr>
          <w:rFonts w:ascii="Times New Roman" w:hAnsi="Times New Roman"/>
          <w:sz w:val="24"/>
          <w:szCs w:val="24"/>
        </w:rPr>
      </w:pPr>
      <w:r w:rsidRPr="0011039A">
        <w:rPr>
          <w:rFonts w:ascii="Times New Roman" w:hAnsi="Times New Roman"/>
          <w:sz w:val="24"/>
          <w:szCs w:val="24"/>
        </w:rPr>
        <w:t xml:space="preserve">kolmanda isiku tehtav sertifitseerimine ei ole kohustuslik ning piisab ettevõtja vastavusdeklaratsioonist, samuti on vastavusdeklaratsiooni kehtivusaeg pikem (viis aastat); </w:t>
      </w:r>
    </w:p>
    <w:p w14:paraId="49B7524D" w14:textId="77777777" w:rsidR="00944203" w:rsidRDefault="00944203" w:rsidP="00944203">
      <w:pPr>
        <w:pStyle w:val="Loendilik"/>
        <w:numPr>
          <w:ilvl w:val="0"/>
          <w:numId w:val="8"/>
        </w:numPr>
        <w:suppressAutoHyphens/>
        <w:spacing w:after="0" w:line="240" w:lineRule="auto"/>
        <w:ind w:right="-2"/>
        <w:jc w:val="both"/>
        <w:rPr>
          <w:rFonts w:ascii="Times New Roman" w:hAnsi="Times New Roman"/>
          <w:sz w:val="24"/>
          <w:szCs w:val="24"/>
        </w:rPr>
      </w:pPr>
      <w:r w:rsidRPr="0011039A">
        <w:rPr>
          <w:rFonts w:ascii="Times New Roman" w:hAnsi="Times New Roman"/>
          <w:sz w:val="24"/>
          <w:szCs w:val="24"/>
        </w:rPr>
        <w:t xml:space="preserve">puudub kohustus teha asutusesiseseid hindamisi; </w:t>
      </w:r>
    </w:p>
    <w:p w14:paraId="18DD4378" w14:textId="77777777" w:rsidR="00944203" w:rsidRDefault="00944203" w:rsidP="00944203">
      <w:pPr>
        <w:pStyle w:val="Loendilik"/>
        <w:numPr>
          <w:ilvl w:val="0"/>
          <w:numId w:val="8"/>
        </w:numPr>
        <w:suppressAutoHyphens/>
        <w:spacing w:after="0" w:line="240" w:lineRule="auto"/>
        <w:ind w:right="-2"/>
        <w:jc w:val="both"/>
        <w:rPr>
          <w:rFonts w:ascii="Times New Roman" w:hAnsi="Times New Roman"/>
          <w:sz w:val="24"/>
          <w:szCs w:val="24"/>
        </w:rPr>
      </w:pPr>
      <w:r w:rsidRPr="0011039A">
        <w:rPr>
          <w:rFonts w:ascii="Times New Roman" w:hAnsi="Times New Roman"/>
          <w:sz w:val="24"/>
          <w:szCs w:val="24"/>
        </w:rPr>
        <w:t xml:space="preserve">puudub kohustus vastavushinnanguid juhtkonna ametlikul koosolekul läbi vaadata ning </w:t>
      </w:r>
    </w:p>
    <w:p w14:paraId="7B7210DB" w14:textId="77777777" w:rsidR="00944203" w:rsidRDefault="00944203" w:rsidP="00944203">
      <w:pPr>
        <w:pStyle w:val="Loendilik"/>
        <w:numPr>
          <w:ilvl w:val="0"/>
          <w:numId w:val="8"/>
        </w:numPr>
        <w:suppressAutoHyphens/>
        <w:spacing w:after="0" w:line="240" w:lineRule="auto"/>
        <w:ind w:right="-2"/>
        <w:jc w:val="both"/>
        <w:rPr>
          <w:rFonts w:ascii="Times New Roman" w:hAnsi="Times New Roman"/>
          <w:sz w:val="24"/>
          <w:szCs w:val="24"/>
        </w:rPr>
      </w:pPr>
      <w:r w:rsidRPr="0011039A">
        <w:rPr>
          <w:rFonts w:ascii="Times New Roman" w:hAnsi="Times New Roman"/>
          <w:sz w:val="24"/>
          <w:szCs w:val="24"/>
        </w:rPr>
        <w:t xml:space="preserve">puudub kohustus töötada välja teadlikkus- ja koolitusprogramm. </w:t>
      </w:r>
    </w:p>
    <w:p w14:paraId="61FD9F96" w14:textId="77777777" w:rsidR="00944203" w:rsidRPr="002053C4" w:rsidRDefault="00944203" w:rsidP="00944203">
      <w:pPr>
        <w:pStyle w:val="Loendilik"/>
        <w:numPr>
          <w:ilvl w:val="0"/>
          <w:numId w:val="5"/>
        </w:numPr>
        <w:suppressAutoHyphens/>
        <w:spacing w:after="0" w:line="240" w:lineRule="auto"/>
        <w:ind w:right="-2"/>
        <w:jc w:val="both"/>
        <w:rPr>
          <w:rFonts w:ascii="Times New Roman" w:hAnsi="Times New Roman"/>
          <w:sz w:val="24"/>
          <w:szCs w:val="24"/>
        </w:rPr>
      </w:pPr>
      <w:r w:rsidRPr="002053C4">
        <w:rPr>
          <w:rFonts w:ascii="Times New Roman" w:hAnsi="Times New Roman"/>
          <w:sz w:val="24"/>
          <w:szCs w:val="24"/>
        </w:rPr>
        <w:t xml:space="preserve">Keskmise suurusega ettevõtjate suhtes, kes käitavad käitisi, kus käideldakse aastas üle 1 000 tonni plastigraanuleid, kohaldatakse järgmist leebemat nõuet: </w:t>
      </w:r>
    </w:p>
    <w:p w14:paraId="59E02B69" w14:textId="77777777" w:rsidR="00944203" w:rsidRPr="00C8193D" w:rsidRDefault="00944203" w:rsidP="00944203">
      <w:pPr>
        <w:pStyle w:val="Loendilik"/>
        <w:numPr>
          <w:ilvl w:val="1"/>
          <w:numId w:val="4"/>
        </w:numPr>
        <w:suppressAutoHyphens/>
        <w:spacing w:after="0" w:line="240" w:lineRule="auto"/>
        <w:ind w:right="-2"/>
        <w:jc w:val="both"/>
        <w:rPr>
          <w:rFonts w:ascii="Times New Roman" w:hAnsi="Times New Roman"/>
          <w:sz w:val="24"/>
          <w:szCs w:val="24"/>
        </w:rPr>
      </w:pPr>
      <w:r w:rsidRPr="00C8193D">
        <w:rPr>
          <w:rFonts w:ascii="Times New Roman" w:hAnsi="Times New Roman"/>
          <w:sz w:val="24"/>
          <w:szCs w:val="24"/>
        </w:rPr>
        <w:t xml:space="preserve">esimesele sertifitseerimisele eelnev üleminekuperiood on pikem kui suurettevõtjate puhul (24 kuu asemel 36 kuud) ja vastavustunnistuse kehtivusaeg on pikem (kolme aasta asemel neli aastat). </w:t>
      </w:r>
    </w:p>
    <w:p w14:paraId="07EE46E5" w14:textId="77777777" w:rsidR="00944203" w:rsidRPr="003B5883" w:rsidRDefault="00944203" w:rsidP="00944203">
      <w:pPr>
        <w:suppressAutoHyphens/>
        <w:spacing w:after="0" w:line="240" w:lineRule="auto"/>
        <w:ind w:right="-2"/>
        <w:rPr>
          <w:rFonts w:ascii="Times New Roman" w:eastAsia="Times New Roman" w:hAnsi="Times New Roman"/>
          <w:sz w:val="24"/>
          <w:szCs w:val="24"/>
          <w:lang w:eastAsia="ar-SA"/>
        </w:rPr>
      </w:pPr>
    </w:p>
    <w:p w14:paraId="2CE81FAA" w14:textId="77777777" w:rsidR="00944203" w:rsidRDefault="00944203" w:rsidP="00944203">
      <w:pPr>
        <w:suppressAutoHyphens/>
        <w:spacing w:after="0" w:line="240" w:lineRule="auto"/>
        <w:ind w:right="-2"/>
        <w:rPr>
          <w:rFonts w:ascii="Times New Roman" w:eastAsia="Times New Roman" w:hAnsi="Times New Roman"/>
          <w:b/>
          <w:bCs/>
          <w:sz w:val="24"/>
          <w:szCs w:val="24"/>
          <w:lang w:eastAsia="ar-SA"/>
        </w:rPr>
      </w:pPr>
    </w:p>
    <w:p w14:paraId="5B227A4F" w14:textId="2143462E" w:rsidR="00944203" w:rsidRDefault="00944203" w:rsidP="00944203">
      <w:pPr>
        <w:suppressAutoHyphens/>
        <w:spacing w:after="0" w:line="240" w:lineRule="auto"/>
        <w:ind w:right="-2"/>
        <w:rPr>
          <w:rFonts w:ascii="Times New Roman" w:eastAsia="Times New Roman" w:hAnsi="Times New Roman"/>
          <w:b/>
          <w:bCs/>
          <w:sz w:val="24"/>
          <w:szCs w:val="24"/>
          <w:lang w:eastAsia="ar-SA"/>
        </w:rPr>
      </w:pPr>
      <w:r w:rsidRPr="003B5883">
        <w:rPr>
          <w:rFonts w:ascii="Times New Roman" w:eastAsia="Times New Roman" w:hAnsi="Times New Roman"/>
          <w:b/>
          <w:bCs/>
          <w:sz w:val="24"/>
          <w:szCs w:val="24"/>
          <w:lang w:eastAsia="ar-SA"/>
        </w:rPr>
        <w:t xml:space="preserve">Esialgne üldine mõjude hindamise kokkuvõte: </w:t>
      </w:r>
    </w:p>
    <w:p w14:paraId="54BB0E9A" w14:textId="77777777" w:rsidR="00944203" w:rsidRDefault="00944203" w:rsidP="00944203">
      <w:pPr>
        <w:suppressAutoHyphens/>
        <w:spacing w:after="0" w:line="240" w:lineRule="auto"/>
        <w:ind w:right="-2"/>
        <w:rPr>
          <w:rFonts w:ascii="Times New Roman" w:eastAsia="Times New Roman" w:hAnsi="Times New Roman"/>
          <w:b/>
          <w:bCs/>
          <w:sz w:val="24"/>
          <w:szCs w:val="24"/>
          <w:lang w:eastAsia="ar-SA"/>
        </w:rPr>
      </w:pPr>
    </w:p>
    <w:p w14:paraId="272C04FC" w14:textId="77777777" w:rsidR="00944203" w:rsidRDefault="00944203" w:rsidP="00944203">
      <w:pPr>
        <w:suppressAutoHyphens/>
        <w:spacing w:after="0" w:line="240" w:lineRule="auto"/>
        <w:ind w:right="-2"/>
        <w:jc w:val="both"/>
        <w:rPr>
          <w:rFonts w:ascii="Times New Roman" w:hAnsi="Times New Roman"/>
          <w:sz w:val="24"/>
          <w:szCs w:val="24"/>
        </w:rPr>
      </w:pPr>
      <w:r>
        <w:rPr>
          <w:rFonts w:ascii="Times New Roman" w:hAnsi="Times New Roman"/>
          <w:sz w:val="24"/>
          <w:szCs w:val="24"/>
        </w:rPr>
        <w:t>Euroopa Komisjoni hinnangul võib g</w:t>
      </w:r>
      <w:r w:rsidRPr="003F5D8B">
        <w:rPr>
          <w:rFonts w:ascii="Times New Roman" w:hAnsi="Times New Roman"/>
          <w:sz w:val="24"/>
          <w:szCs w:val="24"/>
        </w:rPr>
        <w:t>raanulikao puhul täheldada nelja liiki kahjulikku mõju: mõju keskkonnale; mõju kliimale; võimalik mõju inimeste tervisele; mõju majandusele. Mõni neist mõjudest on seotud konkreetselt graanulitega, teised aga mikroplastiga üldiselt. Graanuleid söövad teadaolevalt mitmesugused mere- ja rannikuliigid (nt merikilpkonnad, merelinnud ja karbid). Allaneelamise järel võivad need põhjustada füüsilisi kahjustusi või surma. Kui need ei saa seedekulglat läbida, võivad need põhjustada alatoitumust või nälga. Nagu mis tahes mikroplasti puhul, on probleemi lahutamatu osa graanulite võime toimida a</w:t>
      </w:r>
      <w:r>
        <w:rPr>
          <w:rFonts w:ascii="Times New Roman" w:hAnsi="Times New Roman"/>
          <w:sz w:val="24"/>
          <w:szCs w:val="24"/>
        </w:rPr>
        <w:t>b</w:t>
      </w:r>
      <w:r w:rsidRPr="003F5D8B">
        <w:rPr>
          <w:rFonts w:ascii="Times New Roman" w:hAnsi="Times New Roman"/>
          <w:sz w:val="24"/>
          <w:szCs w:val="24"/>
        </w:rPr>
        <w:t>sorbeerunud toksiliste ainete ja patogeensete mikroorganismide kandjana. Plast ja mikroplast aitavad kaasa kliimamuutustele, olles nii kasvuhoonegaaside heite kui ka ökosüsteemidele ja elurikkusele avalduva surve lisaallikas. Kasvuhoonegaase eraldub kogu plasti olelusringi kestel alates tootmisest kuni lagunemisprotsessideni ning ookeanides leiduv plast võib häirida ka ookeanide võimet absorbeerida ja siduda süsinikdioksiidi. Inimesed puutuvad mikroplastiga kokku õhu kaudu ja toidu tarbimisel. Mikroplastil, sealhulgas plastigraanulitel, võib olla negatiivne majanduslik mõju sellisele kohalikule tegevusele nagu töönduslik kalapüük ja põllumajandus (nt mereelupaikadele, ökosüsteemidele ja elusloodusele avalduvast mõjust tulenev väiksem kalasaak), samuti turismile ja vaba aja veetmisele (nt randade ja selliste haavatavate alade nagu rahvusparkide, jõgede ja järvede atraktiivsuse vähenemine või sulgemine).</w:t>
      </w:r>
    </w:p>
    <w:p w14:paraId="5EC8059F" w14:textId="77777777" w:rsidR="00944203" w:rsidRDefault="00944203" w:rsidP="00944203">
      <w:pPr>
        <w:suppressAutoHyphens/>
        <w:spacing w:after="0" w:line="240" w:lineRule="auto"/>
        <w:ind w:right="-2"/>
        <w:jc w:val="both"/>
        <w:rPr>
          <w:rFonts w:ascii="Times New Roman" w:hAnsi="Times New Roman"/>
          <w:sz w:val="24"/>
          <w:szCs w:val="24"/>
        </w:rPr>
      </w:pPr>
    </w:p>
    <w:p w14:paraId="3A8C88F1" w14:textId="77777777" w:rsidR="00944203" w:rsidRPr="006F334D" w:rsidRDefault="00944203" w:rsidP="00944203">
      <w:pPr>
        <w:pStyle w:val="Loendilik"/>
        <w:numPr>
          <w:ilvl w:val="0"/>
          <w:numId w:val="9"/>
        </w:numPr>
        <w:suppressAutoHyphens/>
        <w:spacing w:after="0" w:line="240" w:lineRule="auto"/>
        <w:ind w:right="-2"/>
        <w:jc w:val="both"/>
        <w:rPr>
          <w:rFonts w:ascii="Times New Roman" w:hAnsi="Times New Roman"/>
          <w:b/>
          <w:bCs/>
          <w:sz w:val="24"/>
          <w:szCs w:val="24"/>
        </w:rPr>
      </w:pPr>
      <w:r w:rsidRPr="006F334D">
        <w:rPr>
          <w:rFonts w:ascii="Times New Roman" w:hAnsi="Times New Roman"/>
          <w:b/>
          <w:bCs/>
          <w:sz w:val="24"/>
          <w:szCs w:val="24"/>
        </w:rPr>
        <w:t xml:space="preserve">Graanulikao ärahoidmiseks kehtestatavate kohustuslike nõuete ja nende täitmise tagamise süsteemi eeldatav mõju </w:t>
      </w:r>
    </w:p>
    <w:p w14:paraId="3C6E59C5" w14:textId="77777777" w:rsidR="00944203" w:rsidRDefault="00944203" w:rsidP="00944203">
      <w:pPr>
        <w:suppressAutoHyphens/>
        <w:spacing w:after="0" w:line="240" w:lineRule="auto"/>
        <w:ind w:right="-2"/>
        <w:jc w:val="both"/>
        <w:rPr>
          <w:rFonts w:ascii="Times New Roman" w:hAnsi="Times New Roman"/>
          <w:sz w:val="24"/>
          <w:szCs w:val="24"/>
        </w:rPr>
      </w:pPr>
      <w:r>
        <w:rPr>
          <w:rFonts w:ascii="Times New Roman" w:hAnsi="Times New Roman"/>
          <w:sz w:val="24"/>
          <w:szCs w:val="24"/>
        </w:rPr>
        <w:t>Komisjoni mõjuhinnangus on välja toodud, et</w:t>
      </w:r>
      <w:r w:rsidRPr="006F334D">
        <w:rPr>
          <w:rFonts w:ascii="Times New Roman" w:hAnsi="Times New Roman"/>
          <w:sz w:val="24"/>
          <w:szCs w:val="24"/>
        </w:rPr>
        <w:t xml:space="preserve"> </w:t>
      </w:r>
      <w:r>
        <w:rPr>
          <w:rFonts w:ascii="Times New Roman" w:hAnsi="Times New Roman"/>
          <w:sz w:val="24"/>
          <w:szCs w:val="24"/>
        </w:rPr>
        <w:t>k</w:t>
      </w:r>
      <w:r w:rsidRPr="006F334D">
        <w:rPr>
          <w:rFonts w:ascii="Times New Roman" w:hAnsi="Times New Roman"/>
          <w:sz w:val="24"/>
          <w:szCs w:val="24"/>
        </w:rPr>
        <w:t xml:space="preserve">ooskõlas põhimõttega, et saastaja maksab, jäävad </w:t>
      </w:r>
      <w:r>
        <w:rPr>
          <w:rFonts w:ascii="Times New Roman" w:hAnsi="Times New Roman"/>
          <w:sz w:val="24"/>
          <w:szCs w:val="24"/>
        </w:rPr>
        <w:t xml:space="preserve">ettepaneku kohaselt </w:t>
      </w:r>
      <w:r w:rsidRPr="006F334D">
        <w:rPr>
          <w:rFonts w:ascii="Times New Roman" w:hAnsi="Times New Roman"/>
          <w:sz w:val="24"/>
          <w:szCs w:val="24"/>
        </w:rPr>
        <w:t xml:space="preserve">kulud, mis on seotud nõuete täitmiseks ja kolmanda isiku tehtava sertifitseerimise või ettevõtja vastavusdeklaratsiooni põhjal vastavuse tõendamiseks vajalike meetmetega, sektori kanda. </w:t>
      </w:r>
      <w:r>
        <w:rPr>
          <w:rFonts w:ascii="Times New Roman" w:hAnsi="Times New Roman"/>
          <w:sz w:val="24"/>
          <w:szCs w:val="24"/>
        </w:rPr>
        <w:t xml:space="preserve">Ettepaneku kohaselt vastutavad </w:t>
      </w:r>
      <w:r w:rsidRPr="00C638BB">
        <w:rPr>
          <w:rFonts w:ascii="Times New Roman" w:hAnsi="Times New Roman"/>
          <w:sz w:val="24"/>
          <w:szCs w:val="24"/>
        </w:rPr>
        <w:t xml:space="preserve">liikmesriikide ametiasutused nõuete täitmisega seotud avaliku registri pidamise eest ning mittevastavuse korral </w:t>
      </w:r>
      <w:r w:rsidRPr="00C638BB">
        <w:rPr>
          <w:rFonts w:ascii="Times New Roman" w:hAnsi="Times New Roman"/>
          <w:sz w:val="24"/>
          <w:szCs w:val="24"/>
        </w:rPr>
        <w:lastRenderedPageBreak/>
        <w:t>parandusmeetmete kehtestamise ja asjakohasel juhul karistuste määramise eest.</w:t>
      </w:r>
      <w:r w:rsidRPr="006F334D">
        <w:rPr>
          <w:rFonts w:ascii="Times New Roman" w:hAnsi="Times New Roman"/>
          <w:sz w:val="24"/>
          <w:szCs w:val="24"/>
        </w:rPr>
        <w:t xml:space="preserve"> Kohustuslike nõuete kehtestamine lähtuvalt graanulikao ärahoidmiseks ning väljapuistunud graanulite laialikandumise tõkestamiseks ja ärakoristamiseks tööstusharus tehtud tööst ning nõuetele vastavuse tõendamise kohustuse sätestamine toovad sektori jaoks kaasa otsesed nõuete täitmisega seotud kulud. Väiksematele ettevõtjatele (mikro- ja väikeettevõtjatele) leebemate nõuete esitamine peaks vähendama nendele ettevõtjatele avalduvat mõju. </w:t>
      </w:r>
      <w:r>
        <w:rPr>
          <w:rFonts w:ascii="Times New Roman" w:hAnsi="Times New Roman"/>
          <w:sz w:val="24"/>
          <w:szCs w:val="24"/>
        </w:rPr>
        <w:t>Meetme</w:t>
      </w:r>
      <w:r w:rsidRPr="006F334D">
        <w:rPr>
          <w:rFonts w:ascii="Times New Roman" w:hAnsi="Times New Roman"/>
          <w:sz w:val="24"/>
          <w:szCs w:val="24"/>
        </w:rPr>
        <w:t xml:space="preserve"> rakendamise summaarne netokulu </w:t>
      </w:r>
      <w:r>
        <w:rPr>
          <w:rFonts w:ascii="Times New Roman" w:hAnsi="Times New Roman"/>
          <w:sz w:val="24"/>
          <w:szCs w:val="24"/>
        </w:rPr>
        <w:t xml:space="preserve">Euroopa Liidus kokku </w:t>
      </w:r>
      <w:r w:rsidRPr="006F334D">
        <w:rPr>
          <w:rFonts w:ascii="Times New Roman" w:hAnsi="Times New Roman"/>
          <w:sz w:val="24"/>
          <w:szCs w:val="24"/>
        </w:rPr>
        <w:t xml:space="preserve">on </w:t>
      </w:r>
      <w:r>
        <w:rPr>
          <w:rFonts w:ascii="Times New Roman" w:hAnsi="Times New Roman"/>
          <w:sz w:val="24"/>
          <w:szCs w:val="24"/>
        </w:rPr>
        <w:t xml:space="preserve">Euroopa Komisjoni hinnangul </w:t>
      </w:r>
      <w:r w:rsidRPr="006F334D">
        <w:rPr>
          <w:rFonts w:ascii="Times New Roman" w:hAnsi="Times New Roman"/>
          <w:sz w:val="24"/>
          <w:szCs w:val="24"/>
        </w:rPr>
        <w:t xml:space="preserve">eeldatavalt 376–491 miljonit eurot aastas. Riiklike pädevate asutuste halduskulude ja nõuete täitmise tagamise kulude hulka kuuluvad kulud avaliku registri loomise ja haldamise, vastavuskontrolli, kaebuste menetlemise mehhanismide ja õiguskaitse kättesaadavuse tagamise jaoks ning samuti kavandatud määruse rakendamise kohta </w:t>
      </w:r>
      <w:r w:rsidRPr="00C638BB">
        <w:rPr>
          <w:rFonts w:ascii="Times New Roman" w:hAnsi="Times New Roman"/>
          <w:sz w:val="24"/>
          <w:szCs w:val="24"/>
        </w:rPr>
        <w:t xml:space="preserve">Euroopa Komisjonile iga kolme aasta järel aru andmise jaoks. Euroopa Komisjoni hinnangul on liikmesriikide summaarsed kulud kogu Euroopa Liidus esimesel aastal eeldatavalt 313 000 eurot ja seejärel 125 000 eurot aastas. </w:t>
      </w:r>
    </w:p>
    <w:p w14:paraId="7076BAB2" w14:textId="77777777" w:rsidR="00944203" w:rsidRDefault="00944203" w:rsidP="00944203">
      <w:pPr>
        <w:suppressAutoHyphens/>
        <w:spacing w:after="0" w:line="240" w:lineRule="auto"/>
        <w:ind w:right="-2"/>
        <w:jc w:val="both"/>
        <w:rPr>
          <w:rFonts w:ascii="Times New Roman" w:hAnsi="Times New Roman"/>
          <w:sz w:val="24"/>
          <w:szCs w:val="24"/>
        </w:rPr>
      </w:pPr>
    </w:p>
    <w:p w14:paraId="15E54098" w14:textId="77777777" w:rsidR="00944203" w:rsidRPr="006F334D" w:rsidRDefault="00944203" w:rsidP="00944203">
      <w:pPr>
        <w:suppressAutoHyphens/>
        <w:spacing w:after="0" w:line="240" w:lineRule="auto"/>
        <w:ind w:right="-2"/>
        <w:jc w:val="both"/>
        <w:rPr>
          <w:rFonts w:ascii="Times New Roman" w:hAnsi="Times New Roman"/>
          <w:sz w:val="32"/>
          <w:szCs w:val="32"/>
        </w:rPr>
      </w:pPr>
      <w:r>
        <w:rPr>
          <w:rFonts w:ascii="Times New Roman" w:hAnsi="Times New Roman"/>
          <w:sz w:val="24"/>
          <w:szCs w:val="24"/>
        </w:rPr>
        <w:t>Ettepanekus kirjeldatud meetmete rakendamise tulemusena</w:t>
      </w:r>
      <w:r w:rsidRPr="006F334D">
        <w:rPr>
          <w:rFonts w:ascii="Times New Roman" w:hAnsi="Times New Roman"/>
          <w:sz w:val="24"/>
          <w:szCs w:val="24"/>
        </w:rPr>
        <w:t xml:space="preserve"> võib </w:t>
      </w:r>
      <w:r>
        <w:rPr>
          <w:rFonts w:ascii="Times New Roman" w:hAnsi="Times New Roman"/>
          <w:sz w:val="24"/>
          <w:szCs w:val="24"/>
        </w:rPr>
        <w:t xml:space="preserve">Euroopa Komisjoni hinnangul </w:t>
      </w:r>
      <w:r w:rsidRPr="006F334D">
        <w:rPr>
          <w:rFonts w:ascii="Times New Roman" w:hAnsi="Times New Roman"/>
          <w:sz w:val="24"/>
          <w:szCs w:val="24"/>
        </w:rPr>
        <w:t xml:space="preserve">plasti tooraine hind kerkida, </w:t>
      </w:r>
      <w:r>
        <w:rPr>
          <w:rFonts w:ascii="Times New Roman" w:hAnsi="Times New Roman"/>
          <w:sz w:val="24"/>
          <w:szCs w:val="24"/>
        </w:rPr>
        <w:t>ning</w:t>
      </w:r>
      <w:r w:rsidRPr="006F334D">
        <w:rPr>
          <w:rFonts w:ascii="Times New Roman" w:hAnsi="Times New Roman"/>
          <w:sz w:val="24"/>
          <w:szCs w:val="24"/>
        </w:rPr>
        <w:t xml:space="preserve"> plasttoodete hinnatõus avaldada mõju üldsusele. Võimalik hinnatõus on tõenäoliselt siiski piiratud, sest parimate käitlustavade rakendamise kulud on sektori käibega võrreldes väikesed. Seepärast eeldatakse, et tootjad võtavad nii väikese tootmiskulude suurenemise enda kanda ning tarbijaid see ei mõjuta. Graanuleid satub keskkonda märkimisväärselt vähem, mistõttu väheneb mikroplastireostus ning ökosüsteemid ja elurikkus on paremini kaitstud. Ühtlasi on tegemist ettevaatusabinõuga inimeste tervisele avalduda võiva mõju ärahoidmiseks. Aastane graanulikadu väheneb eeldatavalt </w:t>
      </w:r>
      <w:r>
        <w:rPr>
          <w:rFonts w:ascii="Times New Roman" w:hAnsi="Times New Roman"/>
          <w:sz w:val="24"/>
          <w:szCs w:val="24"/>
        </w:rPr>
        <w:t xml:space="preserve">Euroopa Liidus </w:t>
      </w:r>
      <w:r w:rsidRPr="006F334D">
        <w:rPr>
          <w:rFonts w:ascii="Times New Roman" w:hAnsi="Times New Roman"/>
          <w:sz w:val="24"/>
          <w:szCs w:val="24"/>
        </w:rPr>
        <w:t>25 142 kuni 140 621 tonni võrra. Saadav kasu hõlmab ka võrdsete võimaluste loomist ettevõtjatele, kuna tagatakse, et vähendamismeetmeid kohaldavate ettevõtjate positsiooni ei nõrgenda konkurents ettevõtjatega, kes ei kohalda selliseid meetmeid, nagu võib juhtuda praeguses vabatahtlikus süsteemis. Graanuleid omavate ettevõtjate jaoks toob see muu hulgas majanduslikku kasu, mis ulatub eeldatavalt 25–141 miljoni euroni ja tuleneb keskkonda sattumise asemel alles jäävate graanulite kogusest. Graanulikao vähendamisel on nende keskkonda sattumisest mõjutatud piirkondades eeldatavalt täiendav positiivne majanduslik mõju teatavatele sektoritele, näiteks töönduslikule kalapüügile, põllumajandusele, turismile ja vaba aja veetmise sektorile. Kahaneks merekeskkonda sattuvate graanulite kogus ja see vähendaks häiringuid mereliikidele, sealhulgas sellistele majanduslikult olulistele liikidele nagu austrid ja huntahven. Samuti satub vähem graanuleid käitiste reovette ja selle puhastamisel tekkivasse reoveesettesse, mistõttu jõuab juhul, kui reoveesete laotatakse põllumajandusmaale, vähem graanuleid ka mulda. Plastigraanulireostuse ennetamine käitlemiskohas toob eeldatavalt kaasa kasvuhoonegaaside heite vähenemise, kuna on vaja toota vähem plasti. Peale selle võib sellel olla kaudne positiivne mõju planktoni kasvule, mis omakorda aitab kaasa süsiniku sidumisele</w:t>
      </w:r>
      <w:r>
        <w:rPr>
          <w:rFonts w:ascii="Times New Roman" w:hAnsi="Times New Roman"/>
          <w:sz w:val="24"/>
          <w:szCs w:val="24"/>
        </w:rPr>
        <w:t>.</w:t>
      </w:r>
    </w:p>
    <w:p w14:paraId="54C3C049" w14:textId="77777777" w:rsidR="00944203" w:rsidRDefault="00944203"/>
    <w:sectPr w:rsidR="00944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360"/>
        </w:tabs>
        <w:ind w:left="0" w:firstLine="0"/>
      </w:pPr>
      <w:rPr>
        <w:rFonts w:ascii="Symbol" w:hAnsi="Symbol"/>
        <w:sz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0E1439E"/>
    <w:multiLevelType w:val="hybridMultilevel"/>
    <w:tmpl w:val="C77EB16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7E34D9"/>
    <w:multiLevelType w:val="hybridMultilevel"/>
    <w:tmpl w:val="48765A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5F7164D"/>
    <w:multiLevelType w:val="hybridMultilevel"/>
    <w:tmpl w:val="29F05C0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2E1BC8"/>
    <w:multiLevelType w:val="hybridMultilevel"/>
    <w:tmpl w:val="FFD40D9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4E35772"/>
    <w:multiLevelType w:val="hybridMultilevel"/>
    <w:tmpl w:val="DB1419A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50A286D"/>
    <w:multiLevelType w:val="hybridMultilevel"/>
    <w:tmpl w:val="2EC46584"/>
    <w:lvl w:ilvl="0" w:tplc="04250005">
      <w:start w:val="1"/>
      <w:numFmt w:val="bullet"/>
      <w:lvlText w:val=""/>
      <w:lvlJc w:val="left"/>
      <w:pPr>
        <w:ind w:left="1776" w:hanging="360"/>
      </w:pPr>
      <w:rPr>
        <w:rFonts w:ascii="Wingdings" w:hAnsi="Wingdings" w:hint="default"/>
      </w:rPr>
    </w:lvl>
    <w:lvl w:ilvl="1" w:tplc="FFFFFFFF">
      <w:start w:val="3"/>
      <w:numFmt w:val="bullet"/>
      <w:lvlText w:val="–"/>
      <w:lvlJc w:val="left"/>
      <w:pPr>
        <w:ind w:left="2496" w:hanging="360"/>
      </w:pPr>
      <w:rPr>
        <w:rFonts w:ascii="Times New Roman" w:eastAsia="Calibri" w:hAnsi="Times New Roman" w:cs="Times New Roman"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7" w15:restartNumberingAfterBreak="0">
    <w:nsid w:val="572E4F30"/>
    <w:multiLevelType w:val="hybridMultilevel"/>
    <w:tmpl w:val="70E2F888"/>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7741E47"/>
    <w:multiLevelType w:val="hybridMultilevel"/>
    <w:tmpl w:val="4DCE4B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015567257">
    <w:abstractNumId w:val="0"/>
  </w:num>
  <w:num w:numId="2" w16cid:durableId="1634827785">
    <w:abstractNumId w:val="8"/>
  </w:num>
  <w:num w:numId="3" w16cid:durableId="1004556487">
    <w:abstractNumId w:val="3"/>
  </w:num>
  <w:num w:numId="4" w16cid:durableId="1903756006">
    <w:abstractNumId w:val="7"/>
  </w:num>
  <w:num w:numId="5" w16cid:durableId="604315206">
    <w:abstractNumId w:val="1"/>
  </w:num>
  <w:num w:numId="6" w16cid:durableId="170536951">
    <w:abstractNumId w:val="5"/>
  </w:num>
  <w:num w:numId="7" w16cid:durableId="684937242">
    <w:abstractNumId w:val="4"/>
  </w:num>
  <w:num w:numId="8" w16cid:durableId="337851353">
    <w:abstractNumId w:val="6"/>
  </w:num>
  <w:num w:numId="9" w16cid:durableId="859585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03"/>
    <w:rsid w:val="003A2E3A"/>
    <w:rsid w:val="00422141"/>
    <w:rsid w:val="0081219F"/>
    <w:rsid w:val="00944203"/>
    <w:rsid w:val="00A055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6D31"/>
  <w15:chartTrackingRefBased/>
  <w15:docId w15:val="{E363EE2A-78A0-45F3-95AE-20244B7B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44203"/>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Dot pt,No Spacing1,List Paragraph Char Char Char,Indicator Text,Numbered Para 1,List Paragraph1,Bullet Points,MAIN CONTENT,List Paragraph12,List Paragraph11,OBC Bullet,F5 List Paragraph,Colorful List - Accent 11,Normal numbered,3,CV text"/>
    <w:basedOn w:val="Normaallaad"/>
    <w:link w:val="LoendilikMrk"/>
    <w:uiPriority w:val="34"/>
    <w:qFormat/>
    <w:rsid w:val="00944203"/>
    <w:pPr>
      <w:ind w:left="720"/>
      <w:contextualSpacing/>
    </w:pPr>
  </w:style>
  <w:style w:type="character" w:customStyle="1" w:styleId="LoendilikMrk">
    <w:name w:val="Loendi lõik Märk"/>
    <w:aliases w:val="Dot pt Märk,No Spacing1 Märk,List Paragraph Char Char Char Märk,Indicator Text Märk,Numbered Para 1 Märk,List Paragraph1 Märk,Bullet Points Märk,MAIN CONTENT Märk,List Paragraph12 Märk,List Paragraph11 Märk,OBC Bullet Märk,3 Märk"/>
    <w:basedOn w:val="Liguvaikefont"/>
    <w:link w:val="Loendilik"/>
    <w:uiPriority w:val="34"/>
    <w:locked/>
    <w:rsid w:val="009442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1792</Words>
  <Characters>10398</Characters>
  <Application>Microsoft Office Word</Application>
  <DocSecurity>0</DocSecurity>
  <Lines>86</Lines>
  <Paragraphs>24</Paragraphs>
  <ScaleCrop>false</ScaleCrop>
  <Company>KeMIT</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Eliise Merila</dc:creator>
  <cp:keywords/>
  <dc:description/>
  <cp:lastModifiedBy>Kertu Sapelkov</cp:lastModifiedBy>
  <cp:revision>2</cp:revision>
  <dcterms:created xsi:type="dcterms:W3CDTF">2024-01-02T15:09:00Z</dcterms:created>
  <dcterms:modified xsi:type="dcterms:W3CDTF">2024-01-02T15:22:00Z</dcterms:modified>
</cp:coreProperties>
</file>